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cs="Times New Roman"/>
          <w:b/>
          <w:bCs/>
          <w:kern w:val="44"/>
          <w:sz w:val="36"/>
          <w:szCs w:val="36"/>
        </w:rPr>
        <w:t>全自动蛋白印迹仪</w:t>
      </w:r>
    </w:p>
    <w:p>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jc w:val="left"/>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南京市疾病预防控制中心就全自动蛋白印迹仪开展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全自动蛋白印迹仪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sz w:val="24"/>
          <w:szCs w:val="28"/>
          <w:u w:val="single"/>
        </w:rPr>
        <w:t>2024</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6</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28</w:t>
      </w:r>
      <w:r>
        <w:rPr>
          <w:rFonts w:hint="eastAsia" w:ascii="仿宋" w:hAnsi="仿宋" w:eastAsia="仿宋"/>
          <w:sz w:val="24"/>
          <w:szCs w:val="28"/>
        </w:rPr>
        <w:t>日</w:t>
      </w:r>
      <w:r>
        <w:rPr>
          <w:rFonts w:hint="eastAsia" w:ascii="仿宋" w:hAnsi="仿宋" w:eastAsia="仿宋"/>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35393621"/>
      <w:bookmarkStart w:id="3" w:name="_Toc28359002"/>
      <w:bookmarkStart w:id="4" w:name="_Toc28359079"/>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心全自动蛋白印迹仪</w:t>
      </w:r>
      <w:r>
        <w:rPr>
          <w:rFonts w:hint="eastAsia" w:ascii="仿宋" w:hAnsi="仿宋" w:eastAsia="仿宋"/>
          <w:sz w:val="24"/>
          <w:szCs w:val="28"/>
          <w:lang w:eastAsia="zh-CN"/>
        </w:rPr>
        <w:t>；</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15万元；</w:t>
      </w:r>
    </w:p>
    <w:p>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5"/>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616"/>
        <w:gridCol w:w="1264"/>
        <w:gridCol w:w="1254"/>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序号</w:t>
            </w:r>
          </w:p>
        </w:tc>
        <w:tc>
          <w:tcPr>
            <w:tcW w:w="3616"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名称</w:t>
            </w:r>
          </w:p>
        </w:tc>
        <w:tc>
          <w:tcPr>
            <w:tcW w:w="1264" w:type="dxa"/>
            <w:noWrap w:val="0"/>
            <w:vAlign w:val="top"/>
          </w:tcPr>
          <w:p>
            <w:pPr>
              <w:spacing w:line="360" w:lineRule="auto"/>
              <w:ind w:firstLine="480" w:firstLineChars="200"/>
              <w:jc w:val="center"/>
              <w:rPr>
                <w:rFonts w:hint="default"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单位</w:t>
            </w:r>
          </w:p>
        </w:tc>
        <w:tc>
          <w:tcPr>
            <w:tcW w:w="125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数量</w:t>
            </w:r>
          </w:p>
        </w:tc>
        <w:tc>
          <w:tcPr>
            <w:tcW w:w="312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1</w:t>
            </w:r>
          </w:p>
        </w:tc>
        <w:tc>
          <w:tcPr>
            <w:tcW w:w="3616" w:type="dxa"/>
            <w:noWrap w:val="0"/>
            <w:vAlign w:val="top"/>
          </w:tcPr>
          <w:p>
            <w:pPr>
              <w:spacing w:line="360" w:lineRule="auto"/>
              <w:ind w:firstLine="480" w:firstLineChars="200"/>
              <w:jc w:val="center"/>
              <w:rPr>
                <w:rFonts w:hint="eastAsia" w:ascii="仿宋" w:hAnsi="仿宋" w:eastAsia="仿宋"/>
                <w:b w:val="0"/>
                <w:color w:val="000000"/>
                <w:sz w:val="24"/>
                <w:szCs w:val="28"/>
              </w:rPr>
            </w:pPr>
            <w:r>
              <w:rPr>
                <w:rFonts w:hint="eastAsia" w:ascii="仿宋" w:hAnsi="仿宋" w:eastAsia="仿宋"/>
                <w:b w:val="0"/>
                <w:color w:val="000000"/>
                <w:sz w:val="24"/>
                <w:szCs w:val="28"/>
              </w:rPr>
              <w:t>全自动免疫印迹仪</w:t>
            </w:r>
          </w:p>
        </w:tc>
        <w:tc>
          <w:tcPr>
            <w:tcW w:w="126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套</w:t>
            </w:r>
          </w:p>
        </w:tc>
        <w:tc>
          <w:tcPr>
            <w:tcW w:w="125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1</w:t>
            </w:r>
          </w:p>
        </w:tc>
        <w:tc>
          <w:tcPr>
            <w:tcW w:w="3124" w:type="dxa"/>
            <w:noWrap w:val="0"/>
            <w:vAlign w:val="top"/>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不接受进口产品投标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2</w:t>
            </w:r>
          </w:p>
        </w:tc>
        <w:tc>
          <w:tcPr>
            <w:tcW w:w="3616" w:type="dxa"/>
            <w:noWrap w:val="0"/>
            <w:vAlign w:val="top"/>
          </w:tcPr>
          <w:p>
            <w:pPr>
              <w:spacing w:line="360" w:lineRule="auto"/>
              <w:ind w:firstLine="480" w:firstLineChars="200"/>
              <w:jc w:val="center"/>
              <w:rPr>
                <w:rFonts w:hint="eastAsia" w:ascii="仿宋" w:hAnsi="仿宋" w:eastAsia="仿宋"/>
                <w:b w:val="0"/>
                <w:color w:val="000000"/>
                <w:sz w:val="24"/>
                <w:szCs w:val="28"/>
              </w:rPr>
            </w:pPr>
            <w:r>
              <w:rPr>
                <w:rFonts w:hint="eastAsia" w:ascii="仿宋" w:hAnsi="仿宋" w:eastAsia="仿宋"/>
                <w:b w:val="0"/>
                <w:color w:val="000000"/>
                <w:sz w:val="24"/>
                <w:szCs w:val="28"/>
              </w:rPr>
              <w:t>HIV确证试剂（18人份/盒）</w:t>
            </w:r>
          </w:p>
        </w:tc>
        <w:tc>
          <w:tcPr>
            <w:tcW w:w="126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盒</w:t>
            </w:r>
          </w:p>
        </w:tc>
        <w:tc>
          <w:tcPr>
            <w:tcW w:w="1254"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1</w:t>
            </w:r>
          </w:p>
        </w:tc>
        <w:tc>
          <w:tcPr>
            <w:tcW w:w="3124" w:type="dxa"/>
            <w:noWrap w:val="0"/>
            <w:vAlign w:val="top"/>
          </w:tcPr>
          <w:p>
            <w:pPr>
              <w:spacing w:line="360" w:lineRule="auto"/>
              <w:jc w:val="center"/>
              <w:rPr>
                <w:rFonts w:hint="default"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验收用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pPr>
              <w:spacing w:line="360" w:lineRule="auto"/>
              <w:ind w:firstLine="480" w:firstLineChars="200"/>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3</w:t>
            </w:r>
          </w:p>
        </w:tc>
        <w:tc>
          <w:tcPr>
            <w:tcW w:w="3616" w:type="dxa"/>
            <w:noWrap w:val="0"/>
            <w:vAlign w:val="top"/>
          </w:tcPr>
          <w:p>
            <w:pPr>
              <w:spacing w:line="360" w:lineRule="auto"/>
              <w:ind w:firstLine="480" w:firstLineChars="200"/>
              <w:jc w:val="center"/>
              <w:rPr>
                <w:rFonts w:hint="eastAsia" w:ascii="仿宋" w:hAnsi="仿宋" w:eastAsia="仿宋"/>
                <w:b w:val="0"/>
                <w:color w:val="000000"/>
                <w:sz w:val="24"/>
                <w:szCs w:val="28"/>
              </w:rPr>
            </w:pPr>
            <w:r>
              <w:rPr>
                <w:rFonts w:hint="eastAsia" w:ascii="仿宋" w:hAnsi="仿宋" w:eastAsia="仿宋"/>
                <w:b w:val="0"/>
                <w:color w:val="000000"/>
                <w:sz w:val="24"/>
                <w:szCs w:val="28"/>
              </w:rPr>
              <w:t>HCV确证试剂（18人份/盒）</w:t>
            </w:r>
          </w:p>
        </w:tc>
        <w:tc>
          <w:tcPr>
            <w:tcW w:w="1264" w:type="dxa"/>
            <w:noWrap w:val="0"/>
            <w:vAlign w:val="top"/>
          </w:tcPr>
          <w:p>
            <w:pPr>
              <w:spacing w:line="360" w:lineRule="auto"/>
              <w:ind w:firstLine="480" w:firstLineChars="200"/>
              <w:jc w:val="center"/>
              <w:rPr>
                <w:rFonts w:hint="default"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盒</w:t>
            </w:r>
          </w:p>
        </w:tc>
        <w:tc>
          <w:tcPr>
            <w:tcW w:w="1254" w:type="dxa"/>
            <w:noWrap w:val="0"/>
            <w:vAlign w:val="top"/>
          </w:tcPr>
          <w:p>
            <w:pPr>
              <w:spacing w:line="360" w:lineRule="auto"/>
              <w:ind w:firstLine="480" w:firstLineChars="200"/>
              <w:jc w:val="center"/>
              <w:rPr>
                <w:rFonts w:hint="default"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1</w:t>
            </w:r>
          </w:p>
        </w:tc>
        <w:tc>
          <w:tcPr>
            <w:tcW w:w="3124" w:type="dxa"/>
            <w:noWrap w:val="0"/>
            <w:vAlign w:val="top"/>
          </w:tcPr>
          <w:p>
            <w:pPr>
              <w:spacing w:line="360" w:lineRule="auto"/>
              <w:jc w:val="center"/>
              <w:rPr>
                <w:rFonts w:hint="default"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验收用</w:t>
            </w:r>
          </w:p>
        </w:tc>
      </w:tr>
    </w:tbl>
    <w:p>
      <w:pPr>
        <w:spacing w:line="360" w:lineRule="auto"/>
        <w:jc w:val="center"/>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35393622"/>
      <w:bookmarkStart w:id="8" w:name="_Toc35393791"/>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w:t>
      </w:r>
      <w:r>
        <w:rPr>
          <w:rFonts w:hint="eastAsia" w:eastAsia="仿宋"/>
          <w:sz w:val="24"/>
          <w:szCs w:val="28"/>
          <w:highlight w:val="yellow"/>
          <w:lang w:val="en-US" w:eastAsia="zh-CN"/>
        </w:rPr>
        <w:t>2024 年6月27日12点00分</w:t>
      </w:r>
      <w:r>
        <w:rPr>
          <w:rFonts w:hint="eastAsia" w:eastAsia="仿宋"/>
          <w:sz w:val="24"/>
          <w:szCs w:val="28"/>
          <w:lang w:val="en-US" w:eastAsia="zh-CN"/>
        </w:rPr>
        <w:t>，以邮件发送时间为准。确认报名参加中心采购的供应商，开标时未参加的，将纳入不诚信供应商名录中；未发送邮件且有意愿参加的供应商可于截止时间前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 xml:space="preserve">6 </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35393627"/>
      <w:bookmarkStart w:id="22" w:name="_Toc28359008"/>
      <w:bookmarkStart w:id="23" w:name="_Toc28359085"/>
      <w:bookmarkStart w:id="24" w:name="_Toc35393796"/>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何</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73</w:t>
      </w:r>
    </w:p>
    <w:p>
      <w:pPr>
        <w:widowControl/>
        <w:jc w:val="center"/>
        <w:rPr>
          <w:rFonts w:ascii="华文中宋" w:hAnsi="华文中宋" w:eastAsia="华文中宋" w:cs="宋体"/>
          <w:b/>
          <w:kern w:val="0"/>
          <w:sz w:val="28"/>
          <w:szCs w:val="28"/>
        </w:rPr>
      </w:pPr>
    </w:p>
    <w:p>
      <w:pPr>
        <w:pStyle w:val="12"/>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5"/>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894"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894"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35</w:t>
            </w:r>
            <w:r>
              <w:rPr>
                <w:rFonts w:ascii="仿宋" w:hAnsi="仿宋" w:eastAsia="仿宋" w:cs="宋体"/>
                <w:sz w:val="24"/>
                <w:szCs w:val="28"/>
              </w:rPr>
              <w:t>分，采购需求中</w:t>
            </w:r>
            <w:r>
              <w:rPr>
                <w:rFonts w:hint="eastAsia" w:ascii="仿宋" w:hAnsi="仿宋" w:eastAsia="仿宋" w:cs="宋体"/>
                <w:b/>
                <w:bCs/>
                <w:sz w:val="24"/>
                <w:szCs w:val="28"/>
                <w:lang w:eastAsia="zh-CN"/>
              </w:rPr>
              <w:t>“</w:t>
            </w:r>
            <w:r>
              <w:rPr>
                <w:rFonts w:hint="eastAsia" w:ascii="仿宋" w:hAnsi="仿宋" w:eastAsia="仿宋" w:cs="宋体"/>
                <w:sz w:val="24"/>
                <w:szCs w:val="28"/>
              </w:rPr>
              <w:t>▲</w:t>
            </w:r>
            <w:r>
              <w:rPr>
                <w:rFonts w:hint="eastAsia" w:ascii="仿宋" w:hAnsi="仿宋" w:eastAsia="仿宋" w:cs="宋体"/>
                <w:b/>
                <w:bCs/>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未提供不得分</w:t>
            </w:r>
            <w:r>
              <w:rPr>
                <w:rFonts w:hint="eastAsia" w:ascii="仿宋" w:hAnsi="仿宋" w:eastAsia="仿宋" w:cs="宋体"/>
                <w:sz w:val="24"/>
                <w:szCs w:val="28"/>
              </w:rPr>
              <w:t>）</w:t>
            </w:r>
          </w:p>
        </w:tc>
        <w:tc>
          <w:tcPr>
            <w:tcW w:w="894"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w:t>
            </w:r>
            <w:r>
              <w:rPr>
                <w:rFonts w:hint="eastAsia" w:ascii="仿宋" w:hAnsi="仿宋" w:eastAsia="仿宋" w:cs="宋体"/>
                <w:sz w:val="24"/>
                <w:szCs w:val="28"/>
                <w:lang w:val="en-US" w:eastAsia="zh-CN"/>
              </w:rPr>
              <w:t>2</w:t>
            </w:r>
            <w:r>
              <w:rPr>
                <w:rFonts w:hint="eastAsia" w:ascii="仿宋" w:hAnsi="仿宋" w:eastAsia="仿宋" w:cs="宋体"/>
                <w:sz w:val="24"/>
                <w:szCs w:val="28"/>
              </w:rPr>
              <w:t>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w:t>
            </w:r>
            <w:r>
              <w:rPr>
                <w:rFonts w:hint="eastAsia" w:ascii="仿宋" w:hAnsi="仿宋" w:eastAsia="仿宋" w:cs="宋体"/>
                <w:sz w:val="24"/>
                <w:szCs w:val="28"/>
                <w:lang w:val="en-US" w:eastAsia="zh-CN"/>
              </w:rPr>
              <w:t>2</w:t>
            </w:r>
            <w:r>
              <w:rPr>
                <w:rFonts w:hint="eastAsia" w:ascii="仿宋" w:hAnsi="仿宋" w:eastAsia="仿宋" w:cs="宋体"/>
                <w:sz w:val="24"/>
                <w:szCs w:val="28"/>
              </w:rPr>
              <w:t>分，本项满分</w:t>
            </w:r>
            <w:r>
              <w:rPr>
                <w:rFonts w:hint="eastAsia" w:ascii="仿宋" w:hAnsi="仿宋" w:eastAsia="仿宋" w:cs="宋体"/>
                <w:sz w:val="24"/>
                <w:szCs w:val="28"/>
                <w:lang w:val="en-US" w:eastAsia="zh-CN"/>
              </w:rPr>
              <w:t>6</w:t>
            </w:r>
            <w:r>
              <w:rPr>
                <w:rFonts w:hint="eastAsia" w:ascii="仿宋" w:hAnsi="仿宋" w:eastAsia="仿宋" w:cs="宋体"/>
                <w:sz w:val="24"/>
                <w:szCs w:val="28"/>
              </w:rPr>
              <w:t>分。</w:t>
            </w:r>
          </w:p>
        </w:tc>
        <w:tc>
          <w:tcPr>
            <w:tcW w:w="894"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w:t>
            </w:r>
            <w:r>
              <w:rPr>
                <w:rFonts w:hint="eastAsia" w:ascii="仿宋" w:hAnsi="仿宋" w:eastAsia="仿宋" w:cs="宋体"/>
                <w:sz w:val="24"/>
                <w:szCs w:val="28"/>
                <w:lang w:val="en-US" w:eastAsia="zh-CN"/>
              </w:rPr>
              <w:t>等</w:t>
            </w:r>
            <w:r>
              <w:rPr>
                <w:rFonts w:hint="eastAsia" w:ascii="仿宋" w:hAnsi="仿宋" w:eastAsia="仿宋" w:cs="宋体"/>
                <w:sz w:val="24"/>
                <w:szCs w:val="28"/>
              </w:rPr>
              <w:t>）进行比较。分布广、备件齐全、人员专业性强，保障性强得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894"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w:t>
            </w:r>
            <w:r>
              <w:rPr>
                <w:rFonts w:hint="eastAsia" w:ascii="仿宋" w:hAnsi="仿宋" w:eastAsia="仿宋" w:cs="宋体"/>
                <w:sz w:val="24"/>
                <w:szCs w:val="28"/>
                <w:lang w:val="en-US" w:eastAsia="zh-CN"/>
              </w:rPr>
              <w:t>综合</w:t>
            </w:r>
            <w:r>
              <w:rPr>
                <w:rFonts w:hint="eastAsia" w:ascii="仿宋" w:hAnsi="仿宋" w:eastAsia="仿宋" w:cs="宋体"/>
                <w:sz w:val="24"/>
                <w:szCs w:val="28"/>
              </w:rPr>
              <w:t>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894"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3.4</w:t>
            </w:r>
          </w:p>
        </w:tc>
        <w:tc>
          <w:tcPr>
            <w:tcW w:w="1103" w:type="dxa"/>
            <w:vMerge w:val="continue"/>
            <w:vAlign w:val="center"/>
          </w:tcPr>
          <w:p>
            <w:pPr>
              <w:widowControl/>
              <w:spacing w:line="360" w:lineRule="auto"/>
              <w:jc w:val="left"/>
              <w:rPr>
                <w:rFonts w:hint="eastAsia" w:ascii="仿宋" w:hAnsi="仿宋" w:eastAsia="仿宋" w:cs="宋体"/>
                <w:sz w:val="24"/>
                <w:szCs w:val="28"/>
                <w:lang w:val="en-US" w:eastAsia="zh-CN"/>
              </w:rPr>
            </w:pPr>
          </w:p>
        </w:tc>
        <w:tc>
          <w:tcPr>
            <w:tcW w:w="7530" w:type="dxa"/>
            <w:vAlign w:val="center"/>
          </w:tcPr>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配送板槽：长期免费供应得8分；≤5元/块得5分；≤10元/块得2分；＞10元/块不得分。（需提供承诺函，未提供不得分）</w:t>
            </w:r>
          </w:p>
        </w:tc>
        <w:tc>
          <w:tcPr>
            <w:tcW w:w="894" w:type="dxa"/>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w:t>
            </w:r>
            <w:r>
              <w:rPr>
                <w:rFonts w:hint="eastAsia" w:ascii="仿宋" w:hAnsi="仿宋" w:eastAsia="仿宋" w:cs="宋体"/>
                <w:sz w:val="24"/>
                <w:szCs w:val="28"/>
                <w:lang w:val="en-US" w:eastAsia="zh-CN"/>
              </w:rPr>
              <w:t>0</w:t>
            </w:r>
            <w:r>
              <w:rPr>
                <w:rFonts w:hint="eastAsia" w:ascii="仿宋" w:hAnsi="仿宋" w:eastAsia="仿宋" w:cs="宋体"/>
                <w:sz w:val="24"/>
                <w:szCs w:val="28"/>
              </w:rPr>
              <w:t>年1月1日以来</w:t>
            </w:r>
            <w:r>
              <w:rPr>
                <w:rFonts w:hint="eastAsia" w:ascii="仿宋" w:hAnsi="仿宋" w:eastAsia="仿宋" w:cs="宋体"/>
                <w:sz w:val="24"/>
                <w:szCs w:val="28"/>
                <w:lang w:val="en-US" w:eastAsia="zh-CN"/>
              </w:rPr>
              <w:t>包含</w:t>
            </w:r>
            <w:r>
              <w:rPr>
                <w:rFonts w:hint="eastAsia" w:ascii="仿宋" w:hAnsi="仿宋" w:eastAsia="仿宋"/>
                <w:sz w:val="24"/>
                <w:szCs w:val="28"/>
              </w:rPr>
              <w:t>全自动蛋白印迹</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w:t>
            </w:r>
            <w:r>
              <w:rPr>
                <w:rFonts w:hint="eastAsia" w:ascii="仿宋" w:hAnsi="仿宋" w:eastAsia="仿宋" w:cs="宋体"/>
                <w:sz w:val="24"/>
                <w:szCs w:val="28"/>
                <w:lang w:eastAsia="zh-CN"/>
              </w:rPr>
              <w:t>的合同</w:t>
            </w:r>
            <w:r>
              <w:rPr>
                <w:rFonts w:hint="eastAsia" w:ascii="仿宋" w:hAnsi="仿宋" w:eastAsia="仿宋" w:cs="宋体"/>
                <w:sz w:val="24"/>
                <w:szCs w:val="28"/>
                <w:lang w:val="en-US" w:eastAsia="zh-CN"/>
              </w:rPr>
              <w:t>或协议</w:t>
            </w:r>
            <w:r>
              <w:rPr>
                <w:rFonts w:hint="eastAsia" w:ascii="仿宋" w:hAnsi="仿宋" w:eastAsia="仿宋" w:cs="宋体"/>
                <w:sz w:val="24"/>
                <w:szCs w:val="28"/>
              </w:rPr>
              <w:t>，每提供一个合同</w:t>
            </w:r>
            <w:r>
              <w:rPr>
                <w:rFonts w:hint="eastAsia" w:ascii="仿宋" w:hAnsi="仿宋" w:eastAsia="仿宋" w:cs="宋体"/>
                <w:sz w:val="24"/>
                <w:szCs w:val="28"/>
                <w:lang w:val="en-US" w:eastAsia="zh-CN"/>
              </w:rPr>
              <w:t>/协议</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894"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424"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10"/>
        <w:rPr>
          <w:rFonts w:hint="eastAsia" w:ascii="仿宋" w:hAnsi="仿宋" w:eastAsia="仿宋" w:cs="宋体"/>
          <w:sz w:val="24"/>
          <w:szCs w:val="28"/>
        </w:rPr>
      </w:pPr>
    </w:p>
    <w:p>
      <w:pPr>
        <w:rPr>
          <w:rFonts w:hint="eastAsia" w:ascii="仿宋" w:hAnsi="仿宋" w:eastAsia="仿宋" w:cs="宋体"/>
          <w:sz w:val="24"/>
          <w:szCs w:val="28"/>
        </w:rPr>
      </w:pPr>
    </w:p>
    <w:p>
      <w:pPr>
        <w:pStyle w:val="10"/>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2"/>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2"/>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配置要求：可同时做HIV、HCV确认，提供可以匹配仪器的试剂注册证、及试剂说明书。</w:t>
      </w:r>
    </w:p>
    <w:tbl>
      <w:tblPr>
        <w:tblStyle w:val="15"/>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3860"/>
        <w:gridCol w:w="2318"/>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序号</w:t>
            </w:r>
          </w:p>
        </w:tc>
        <w:tc>
          <w:tcPr>
            <w:tcW w:w="3860"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名称</w:t>
            </w:r>
          </w:p>
        </w:tc>
        <w:tc>
          <w:tcPr>
            <w:tcW w:w="2318" w:type="dxa"/>
            <w:noWrap w:val="0"/>
            <w:vAlign w:val="top"/>
          </w:tcPr>
          <w:p>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单位</w:t>
            </w:r>
          </w:p>
        </w:tc>
        <w:tc>
          <w:tcPr>
            <w:tcW w:w="2386"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3860"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全自动免疫印迹仪</w:t>
            </w:r>
          </w:p>
        </w:tc>
        <w:tc>
          <w:tcPr>
            <w:tcW w:w="2318"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套</w:t>
            </w:r>
          </w:p>
        </w:tc>
        <w:tc>
          <w:tcPr>
            <w:tcW w:w="2386"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3860"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HIV确证试剂（</w:t>
            </w:r>
            <w:r>
              <w:rPr>
                <w:rFonts w:hint="default" w:ascii="仿宋" w:hAnsi="仿宋" w:eastAsia="仿宋" w:cs="宋体"/>
                <w:kern w:val="2"/>
                <w:sz w:val="24"/>
                <w:szCs w:val="28"/>
                <w:lang w:val="en-US" w:eastAsia="zh-CN" w:bidi="ar-SA"/>
              </w:rPr>
              <w:t>18</w:t>
            </w:r>
            <w:r>
              <w:rPr>
                <w:rFonts w:hint="eastAsia" w:ascii="仿宋" w:hAnsi="仿宋" w:eastAsia="仿宋" w:cs="宋体"/>
                <w:kern w:val="2"/>
                <w:sz w:val="24"/>
                <w:szCs w:val="28"/>
                <w:lang w:val="en-US" w:eastAsia="zh-CN" w:bidi="ar-SA"/>
              </w:rPr>
              <w:t>人份/盒）</w:t>
            </w:r>
          </w:p>
        </w:tc>
        <w:tc>
          <w:tcPr>
            <w:tcW w:w="2318"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盒</w:t>
            </w:r>
          </w:p>
        </w:tc>
        <w:tc>
          <w:tcPr>
            <w:tcW w:w="2386"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3860" w:type="dxa"/>
            <w:noWrap w:val="0"/>
            <w:vAlign w:val="top"/>
          </w:tcPr>
          <w:p>
            <w:pPr>
              <w:spacing w:line="360" w:lineRule="auto"/>
              <w:jc w:val="center"/>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HCV</w:t>
            </w:r>
            <w:r>
              <w:rPr>
                <w:rFonts w:hint="eastAsia" w:ascii="仿宋" w:hAnsi="仿宋" w:eastAsia="仿宋" w:cs="宋体"/>
                <w:kern w:val="2"/>
                <w:sz w:val="24"/>
                <w:szCs w:val="28"/>
                <w:lang w:val="en-US" w:eastAsia="zh-CN" w:bidi="ar-SA"/>
              </w:rPr>
              <w:t>确证试剂（</w:t>
            </w:r>
            <w:r>
              <w:rPr>
                <w:rFonts w:hint="default" w:ascii="仿宋" w:hAnsi="仿宋" w:eastAsia="仿宋" w:cs="宋体"/>
                <w:kern w:val="2"/>
                <w:sz w:val="24"/>
                <w:szCs w:val="28"/>
                <w:lang w:val="en-US" w:eastAsia="zh-CN" w:bidi="ar-SA"/>
              </w:rPr>
              <w:t>18</w:t>
            </w:r>
            <w:r>
              <w:rPr>
                <w:rFonts w:hint="eastAsia" w:ascii="仿宋" w:hAnsi="仿宋" w:eastAsia="仿宋" w:cs="宋体"/>
                <w:kern w:val="2"/>
                <w:sz w:val="24"/>
                <w:szCs w:val="28"/>
                <w:lang w:val="en-US" w:eastAsia="zh-CN" w:bidi="ar-SA"/>
              </w:rPr>
              <w:t>人份/盒）</w:t>
            </w:r>
          </w:p>
        </w:tc>
        <w:tc>
          <w:tcPr>
            <w:tcW w:w="2318" w:type="dxa"/>
            <w:noWrap w:val="0"/>
            <w:vAlign w:val="top"/>
          </w:tcPr>
          <w:p>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盒</w:t>
            </w:r>
          </w:p>
        </w:tc>
        <w:tc>
          <w:tcPr>
            <w:tcW w:w="2386" w:type="dxa"/>
            <w:noWrap w:val="0"/>
            <w:vAlign w:val="top"/>
          </w:tcPr>
          <w:p>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bl>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widowControl/>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1、用于HIV、HCV全自动完成免疫印迹实验；</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2、试验条容量：可同时处理≥48试剂膜条；</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3、编程容量：可贮存≥12个测试程序，每个测试程序包含12个独立的动作；</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4、多程序运行：可同时处理≥3个测序程序；（须提供彩页、说明书或检测报告等）；</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5、配送板槽要求：设备具有板槽盖适配，避免过夜孵育时液体蒸发，加样液体飞溅，交叉污染，影响判读；（提供适配板槽盖子样品）</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6、加样通道：≥8通道；</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7、配液泵分配量范围：100ul-3000ul；</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8、配液泵试剂分配量的精密度：&lt;5%；</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9、试剂种类：可分配不少于8种试剂液；</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10、加样、清洗方式：试剂加注由蠕动泵完成，废液吸取由真空泵完成；（须提供彩页、说明书或检测报告等）</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11、摇床速度：可设置快、中、慢三种摇床速度，适应不同试验要求；</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12、吸液残留量：≤100uL；（须提供彩页、说明书或检测报告等）</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13、试剂瓶：具有不少于3种容量试剂瓶，适应不同标本量要求；（须提供彩页、说明书或检测报告等）</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14、试剂回流：试剂加注完成后，可实现试剂回流，节省试剂使用量；</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15、报警功能：运行时无需看守，检测完成后将自动报警；</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16、界面显示：分辨率240*128（单色）；</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17、控制键盘：2*3行列式键盘；</w:t>
      </w:r>
    </w:p>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18、</w:t>
      </w:r>
    </w:p>
    <w:p>
      <w:pPr>
        <w:rPr>
          <w:rFonts w:hint="eastAsia" w:ascii="仿宋" w:hAnsi="仿宋" w:eastAsia="仿宋"/>
          <w:sz w:val="24"/>
          <w:szCs w:val="28"/>
          <w:lang w:val="en-US" w:eastAsia="zh-CN"/>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hint="default" w:ascii="仿宋" w:hAnsi="仿宋" w:eastAsia="仿宋" w:cs="宋体"/>
          <w:sz w:val="24"/>
          <w:szCs w:val="28"/>
          <w:lang w:val="en-US" w:eastAsia="zh-CN"/>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widowControl/>
        <w:spacing w:line="360" w:lineRule="auto"/>
        <w:ind w:firstLine="480" w:firstLineChars="200"/>
        <w:jc w:val="left"/>
        <w:rPr>
          <w:rFonts w:ascii="仿宋" w:hAnsi="仿宋" w:eastAsia="仿宋" w:cs="宋体"/>
          <w:sz w:val="24"/>
          <w:szCs w:val="28"/>
          <w:highlight w:val="yellow"/>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r>
        <w:rPr>
          <w:rFonts w:hint="eastAsia" w:ascii="仿宋" w:hAnsi="仿宋" w:eastAsia="仿宋" w:cs="宋体"/>
          <w:kern w:val="2"/>
          <w:sz w:val="24"/>
          <w:szCs w:val="28"/>
          <w:highlight w:val="yellow"/>
          <w:lang w:val="en-US" w:eastAsia="zh-CN" w:bidi="ar-SA"/>
        </w:rPr>
        <w:t>3年内每季度免费提供一次上门设备校准。（需提供承诺函）</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bookmarkStart w:id="27" w:name="_GoBack"/>
      <w:bookmarkEnd w:id="27"/>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pStyle w:val="2"/>
        <w:ind w:left="0" w:leftChars="0" w:firstLine="0" w:firstLineChars="0"/>
        <w:rPr>
          <w:rFonts w:hint="eastAsia" w:ascii="宋体" w:hAnsi="宋体" w:cs="宋体"/>
          <w:color w:val="000000"/>
          <w:kern w:val="0"/>
          <w:sz w:val="28"/>
          <w:szCs w:val="28"/>
        </w:rPr>
      </w:pPr>
    </w:p>
    <w:p>
      <w:pPr>
        <w:pStyle w:val="2"/>
        <w:ind w:left="0" w:leftChars="0" w:firstLine="0" w:firstLineChars="0"/>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9"/>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2"/>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5B13691E"/>
    <w:rsid w:val="094220C9"/>
    <w:rsid w:val="09AA4D5C"/>
    <w:rsid w:val="0AA83D28"/>
    <w:rsid w:val="0D2C2368"/>
    <w:rsid w:val="130F6CAB"/>
    <w:rsid w:val="189746FE"/>
    <w:rsid w:val="1A705488"/>
    <w:rsid w:val="1D2C2396"/>
    <w:rsid w:val="1E3C4D3E"/>
    <w:rsid w:val="23847980"/>
    <w:rsid w:val="271505B0"/>
    <w:rsid w:val="2B436493"/>
    <w:rsid w:val="304E66F6"/>
    <w:rsid w:val="31A14F62"/>
    <w:rsid w:val="37775BC8"/>
    <w:rsid w:val="387D5266"/>
    <w:rsid w:val="3FA41A73"/>
    <w:rsid w:val="46495D0B"/>
    <w:rsid w:val="4A2F3CD8"/>
    <w:rsid w:val="4C9E6AA9"/>
    <w:rsid w:val="521842DB"/>
    <w:rsid w:val="5B13691E"/>
    <w:rsid w:val="5D9B1BA1"/>
    <w:rsid w:val="61727A29"/>
    <w:rsid w:val="68BD430B"/>
    <w:rsid w:val="6AF34F55"/>
    <w:rsid w:val="74953D8D"/>
    <w:rsid w:val="74BC02CA"/>
    <w:rsid w:val="763F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szCs w:val="20"/>
      <w:lang w:val="zh-CN"/>
    </w:rPr>
  </w:style>
  <w:style w:type="paragraph" w:styleId="5">
    <w:name w:val="Normal Indent"/>
    <w:basedOn w:val="1"/>
    <w:qFormat/>
    <w:uiPriority w:val="0"/>
    <w:pPr>
      <w:ind w:firstLine="420"/>
    </w:pPr>
    <w:rPr>
      <w:kern w:val="0"/>
      <w:sz w:val="20"/>
    </w:rPr>
  </w:style>
  <w:style w:type="paragraph" w:styleId="6">
    <w:name w:val="annotation text"/>
    <w:basedOn w:val="1"/>
    <w:qFormat/>
    <w:uiPriority w:val="0"/>
    <w:pPr>
      <w:jc w:val="left"/>
    </w:pPr>
  </w:style>
  <w:style w:type="paragraph" w:styleId="7">
    <w:name w:val="Body Text"/>
    <w:basedOn w:val="1"/>
    <w:qFormat/>
    <w:uiPriority w:val="0"/>
    <w:pPr>
      <w:spacing w:line="500" w:lineRule="exact"/>
    </w:pPr>
  </w:style>
  <w:style w:type="paragraph" w:styleId="8">
    <w:name w:val="Body Text Indent"/>
    <w:basedOn w:val="1"/>
    <w:qFormat/>
    <w:uiPriority w:val="0"/>
    <w:pPr>
      <w:spacing w:after="120"/>
      <w:ind w:left="420" w:leftChars="200"/>
    </w:pPr>
  </w:style>
  <w:style w:type="paragraph" w:styleId="9">
    <w:name w:val="Block Text"/>
    <w:basedOn w:val="1"/>
    <w:qFormat/>
    <w:uiPriority w:val="0"/>
    <w:pPr>
      <w:spacing w:after="120"/>
      <w:ind w:left="1440" w:leftChars="700" w:right="1440" w:rightChars="700"/>
    </w:pPr>
    <w:rPr>
      <w:sz w:val="24"/>
      <w:szCs w:val="24"/>
    </w:rPr>
  </w:style>
  <w:style w:type="paragraph" w:styleId="10">
    <w:name w:val="index 4"/>
    <w:basedOn w:val="1"/>
    <w:next w:val="1"/>
    <w:qFormat/>
    <w:uiPriority w:val="0"/>
    <w:pPr>
      <w:ind w:left="600" w:leftChars="6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spacing w:before="120" w:after="120"/>
      <w:jc w:val="left"/>
    </w:pPr>
    <w:rPr>
      <w:b/>
      <w:caps/>
      <w:sz w:val="20"/>
    </w:r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7296</Words>
  <Characters>7537</Characters>
  <Lines>0</Lines>
  <Paragraphs>0</Paragraphs>
  <TotalTime>7</TotalTime>
  <ScaleCrop>false</ScaleCrop>
  <LinksUpToDate>false</LinksUpToDate>
  <CharactersWithSpaces>9582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汪娜</cp:lastModifiedBy>
  <cp:lastPrinted>2024-06-19T00:30:00Z</cp:lastPrinted>
  <dcterms:modified xsi:type="dcterms:W3CDTF">2024-06-21T03:01:09Z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A57AC9E499A94330B5AC8C37597FF27D_13</vt:lpwstr>
  </property>
</Properties>
</file>