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40"/>
        </w:rPr>
      </w:pPr>
    </w:p>
    <w:p>
      <w:pPr>
        <w:spacing w:line="360" w:lineRule="auto"/>
        <w:jc w:val="center"/>
        <w:rPr>
          <w:rFonts w:ascii="华文中宋" w:hAnsi="华文中宋" w:eastAsia="华文中宋"/>
          <w:sz w:val="40"/>
        </w:rPr>
      </w:pPr>
      <w:r>
        <w:rPr>
          <w:rFonts w:ascii="华文中宋" w:hAnsi="华文中宋" w:eastAsia="华文中宋"/>
          <w:sz w:val="40"/>
        </w:rPr>
        <w:tab/>
      </w:r>
    </w:p>
    <w:p>
      <w:pPr>
        <w:pStyle w:val="2"/>
        <w:ind w:left="1260"/>
      </w:pPr>
    </w:p>
    <w:p/>
    <w:p/>
    <w:p>
      <w:pPr>
        <w:spacing w:line="360" w:lineRule="auto"/>
        <w:jc w:val="center"/>
        <w:rPr>
          <w:rFonts w:eastAsia="黑体"/>
          <w:b/>
          <w:bCs/>
          <w:sz w:val="52"/>
          <w:szCs w:val="36"/>
        </w:rPr>
      </w:pPr>
      <w:r>
        <w:rPr>
          <w:rFonts w:hint="eastAsia" w:eastAsia="黑体"/>
          <w:b/>
          <w:bCs/>
          <w:sz w:val="52"/>
          <w:szCs w:val="36"/>
        </w:rPr>
        <w:t>慢病三高共管与双向转诊随访数据处理服务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rPr>
          <w:sz w:val="24"/>
        </w:rPr>
      </w:pPr>
    </w:p>
    <w:p>
      <w:pPr>
        <w:spacing w:line="360" w:lineRule="auto"/>
        <w:jc w:val="center"/>
        <w:rPr>
          <w:sz w:val="24"/>
        </w:rPr>
      </w:pPr>
    </w:p>
    <w:p>
      <w:pPr>
        <w:pStyle w:val="9"/>
        <w:rPr>
          <w:sz w:val="24"/>
        </w:rPr>
      </w:pPr>
    </w:p>
    <w:p>
      <w:pPr>
        <w:pStyle w:val="9"/>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rFonts w:hint="eastAsia" w:hAnsiTheme="minorEastAsia"/>
          <w:sz w:val="36"/>
          <w:szCs w:val="36"/>
          <w:lang w:val="en-US" w:eastAsia="zh-CN"/>
        </w:rPr>
        <w:t>中心内部采购</w:t>
      </w:r>
      <w:r>
        <w:rPr>
          <w:rFonts w:hAnsiTheme="minorEastAsia"/>
          <w:sz w:val="36"/>
          <w:szCs w:val="36"/>
        </w:rPr>
        <w:t>文件</w:t>
      </w: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highlight w:val="none"/>
        </w:rPr>
      </w:pPr>
      <w:r>
        <w:rPr>
          <w:rFonts w:hint="eastAsia" w:hAnsiTheme="minorEastAsia"/>
          <w:sz w:val="28"/>
          <w:szCs w:val="28"/>
          <w:highlight w:val="none"/>
        </w:rPr>
        <w:t>202</w:t>
      </w:r>
      <w:r>
        <w:rPr>
          <w:rFonts w:hAnsiTheme="minorEastAsia"/>
          <w:sz w:val="28"/>
          <w:szCs w:val="28"/>
          <w:highlight w:val="none"/>
        </w:rPr>
        <w:t>3年</w:t>
      </w:r>
      <w:r>
        <w:rPr>
          <w:rFonts w:hint="eastAsia" w:hAnsiTheme="minorEastAsia"/>
          <w:sz w:val="28"/>
          <w:szCs w:val="28"/>
          <w:highlight w:val="none"/>
          <w:lang w:val="en-US" w:eastAsia="zh-CN"/>
        </w:rPr>
        <w:t>8</w:t>
      </w:r>
      <w:r>
        <w:rPr>
          <w:rFonts w:hint="eastAsia" w:hAnsiTheme="minorEastAsia"/>
          <w:sz w:val="28"/>
          <w:szCs w:val="28"/>
          <w:highlight w:val="none"/>
        </w:rPr>
        <w:t xml:space="preserve"> </w:t>
      </w:r>
      <w:r>
        <w:rPr>
          <w:rFonts w:hAnsiTheme="minorEastAsia"/>
          <w:sz w:val="28"/>
          <w:szCs w:val="28"/>
          <w:highlight w:val="none"/>
        </w:rPr>
        <w:t>月</w:t>
      </w:r>
      <w:r>
        <w:rPr>
          <w:rFonts w:hint="eastAsia" w:hAnsiTheme="minorEastAsia"/>
          <w:sz w:val="28"/>
          <w:szCs w:val="28"/>
          <w:highlight w:val="none"/>
          <w:lang w:val="en-US" w:eastAsia="zh-CN"/>
        </w:rPr>
        <w:t>26</w:t>
      </w:r>
      <w:r>
        <w:rPr>
          <w:rFonts w:hint="eastAsia" w:hAnsiTheme="minorEastAsia"/>
          <w:sz w:val="28"/>
          <w:szCs w:val="28"/>
          <w:highlight w:val="none"/>
        </w:rPr>
        <w:t xml:space="preserve"> </w:t>
      </w:r>
      <w:r>
        <w:rPr>
          <w:rFonts w:hAnsiTheme="minorEastAsia"/>
          <w:sz w:val="28"/>
          <w:szCs w:val="28"/>
          <w:highlight w:val="none"/>
        </w:rPr>
        <w:t>日</w:t>
      </w:r>
    </w:p>
    <w:p>
      <w:pPr>
        <w:spacing w:line="520" w:lineRule="exact"/>
        <w:jc w:val="left"/>
        <w:rPr>
          <w:rFonts w:hAnsiTheme="minorEastAsia"/>
          <w:sz w:val="24"/>
          <w:szCs w:val="24"/>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慢病三高共管与双向转诊随访数据处理服务</w:t>
      </w:r>
      <w:r>
        <w:rPr>
          <w:rFonts w:ascii="仿宋" w:hAnsi="仿宋" w:eastAsia="仿宋"/>
          <w:sz w:val="24"/>
          <w:szCs w:val="28"/>
        </w:rPr>
        <w:t>开展招标</w:t>
      </w:r>
      <w:r>
        <w:rPr>
          <w:rFonts w:hint="eastAsia" w:ascii="仿宋" w:hAnsi="仿宋" w:eastAsia="仿宋"/>
          <w:sz w:val="24"/>
          <w:szCs w:val="28"/>
        </w:rPr>
        <w:t>，</w:t>
      </w:r>
      <w:r>
        <w:rPr>
          <w:rFonts w:ascii="仿宋" w:hAnsi="仿宋" w:eastAsia="仿宋"/>
          <w:sz w:val="24"/>
          <w:szCs w:val="28"/>
        </w:rPr>
        <w:t>本</w:t>
      </w:r>
      <w:r>
        <w:rPr>
          <w:rFonts w:hint="eastAsia" w:ascii="仿宋" w:hAnsi="仿宋" w:eastAsia="仿宋"/>
          <w:sz w:val="24"/>
          <w:szCs w:val="28"/>
        </w:rPr>
        <w:t>服务</w:t>
      </w:r>
      <w:r>
        <w:rPr>
          <w:rFonts w:ascii="仿宋" w:hAnsi="仿宋" w:eastAsia="仿宋"/>
          <w:sz w:val="24"/>
          <w:szCs w:val="28"/>
        </w:rPr>
        <w:t>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8"/>
        </w:rPr>
      </w:pPr>
      <w:r>
        <w:rPr>
          <w:rFonts w:hint="eastAsia" w:ascii="仿宋" w:hAnsi="仿宋" w:eastAsia="仿宋"/>
          <w:sz w:val="24"/>
          <w:szCs w:val="28"/>
        </w:rPr>
        <w:t>服务概况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sz w:val="24"/>
          <w:szCs w:val="28"/>
        </w:rPr>
        <w:t>慢病三高共管与双向转诊随访数据处理服务招标的潜在投标人应在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highlight w:val="none"/>
          <w14:textFill>
            <w14:solidFill>
              <w14:schemeClr w14:val="tx1"/>
            </w14:solidFill>
          </w14:textFill>
        </w:rPr>
        <w:t>于</w:t>
      </w:r>
      <w:r>
        <w:rPr>
          <w:rFonts w:hint="eastAsia" w:ascii="仿宋" w:hAnsi="仿宋" w:eastAsia="仿宋"/>
          <w:color w:val="000000" w:themeColor="text1"/>
          <w:sz w:val="24"/>
          <w:szCs w:val="28"/>
          <w:highlight w:val="none"/>
          <w:u w:val="single"/>
          <w14:textFill>
            <w14:solidFill>
              <w14:schemeClr w14:val="tx1"/>
            </w14:solidFill>
          </w14:textFill>
        </w:rPr>
        <w:t>202</w:t>
      </w:r>
      <w:r>
        <w:rPr>
          <w:rFonts w:ascii="仿宋" w:hAnsi="仿宋" w:eastAsia="仿宋"/>
          <w:color w:val="000000" w:themeColor="text1"/>
          <w:sz w:val="24"/>
          <w:szCs w:val="28"/>
          <w:highlight w:val="none"/>
          <w:u w:val="single"/>
          <w14:textFill>
            <w14:solidFill>
              <w14:schemeClr w14:val="tx1"/>
            </w14:solidFill>
          </w14:textFill>
        </w:rPr>
        <w:t>3</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8"/>
          <w:highlight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4</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15</w:t>
      </w:r>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00</w:t>
      </w:r>
      <w:r>
        <w:rPr>
          <w:rFonts w:hint="eastAsia" w:ascii="仿宋" w:hAnsi="仿宋" w:eastAsia="仿宋"/>
          <w:bCs/>
          <w:color w:val="000000" w:themeColor="text1"/>
          <w:sz w:val="24"/>
          <w:szCs w:val="28"/>
          <w:highlight w:val="none"/>
          <w14:textFill>
            <w14:solidFill>
              <w14:schemeClr w14:val="tx1"/>
            </w14:solidFill>
          </w14:textFill>
        </w:rPr>
        <w:t>分（北京时间）前递交投标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pPr>
        <w:rPr>
          <w:color w:val="000000" w:themeColor="text1"/>
          <w:sz w:val="24"/>
          <w:szCs w:val="28"/>
          <w:highlight w:val="none"/>
          <w14:textFill>
            <w14:solidFill>
              <w14:schemeClr w14:val="tx1"/>
            </w14:solidFill>
          </w14:textFill>
        </w:rPr>
      </w:pPr>
    </w:p>
    <w:p>
      <w:pPr>
        <w:pStyle w:val="4"/>
        <w:spacing w:line="360" w:lineRule="auto"/>
        <w:rPr>
          <w:rFonts w:ascii="黑体" w:hAnsi="黑体" w:cs="宋体"/>
          <w:b w:val="0"/>
          <w:color w:val="000000" w:themeColor="text1"/>
          <w:sz w:val="24"/>
          <w:szCs w:val="28"/>
          <w:highlight w:val="none"/>
          <w14:textFill>
            <w14:solidFill>
              <w14:schemeClr w14:val="tx1"/>
            </w14:solidFill>
          </w14:textFill>
        </w:rPr>
      </w:pPr>
      <w:bookmarkStart w:id="2" w:name="_Toc28359002"/>
      <w:bookmarkStart w:id="3" w:name="_Toc28359079"/>
      <w:bookmarkStart w:id="4" w:name="_Toc35393790"/>
      <w:bookmarkStart w:id="5" w:name="_Toc35393621"/>
      <w:bookmarkStart w:id="6" w:name="_Hlk24379207"/>
      <w:r>
        <w:rPr>
          <w:rFonts w:hint="eastAsia" w:ascii="黑体" w:hAnsi="黑体" w:cs="宋体"/>
          <w:b w:val="0"/>
          <w:color w:val="000000" w:themeColor="text1"/>
          <w:sz w:val="24"/>
          <w:szCs w:val="28"/>
          <w:highlight w:val="none"/>
          <w14:textFill>
            <w14:solidFill>
              <w14:schemeClr w14:val="tx1"/>
            </w14:solidFill>
          </w14:textFill>
        </w:rPr>
        <w:t>一、服务基本情况</w:t>
      </w:r>
      <w:bookmarkEnd w:id="2"/>
      <w:bookmarkEnd w:id="3"/>
      <w:bookmarkEnd w:id="4"/>
      <w:bookmarkEnd w:id="5"/>
    </w:p>
    <w:p>
      <w:pPr>
        <w:ind w:firstLine="480" w:firstLineChars="200"/>
        <w:rPr>
          <w:rFonts w:ascii="仿宋" w:hAnsi="仿宋" w:eastAsia="仿宋"/>
          <w:sz w:val="24"/>
          <w:szCs w:val="28"/>
          <w:highlight w:val="none"/>
          <w:u w:val="single"/>
        </w:rPr>
      </w:pPr>
      <w:r>
        <w:rPr>
          <w:rFonts w:hint="eastAsia" w:ascii="仿宋" w:hAnsi="仿宋" w:eastAsia="仿宋"/>
          <w:sz w:val="24"/>
          <w:szCs w:val="28"/>
          <w:highlight w:val="none"/>
        </w:rPr>
        <w:t>服务名称：</w:t>
      </w:r>
      <w:bookmarkEnd w:id="6"/>
      <w:r>
        <w:rPr>
          <w:rFonts w:hint="eastAsia" w:ascii="仿宋" w:hAnsi="仿宋" w:eastAsia="仿宋"/>
          <w:sz w:val="24"/>
          <w:szCs w:val="28"/>
          <w:highlight w:val="none"/>
        </w:rPr>
        <w:t>慢病三高共管与双向转诊随访数据处理服务</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采购预算：人民币</w:t>
      </w:r>
      <w:r>
        <w:rPr>
          <w:rFonts w:ascii="仿宋" w:hAnsi="仿宋" w:eastAsia="仿宋" w:cs="仿宋"/>
          <w:sz w:val="24"/>
          <w:szCs w:val="24"/>
          <w:highlight w:val="none"/>
        </w:rPr>
        <w:t>9.9</w:t>
      </w:r>
      <w:r>
        <w:rPr>
          <w:rFonts w:hint="eastAsia" w:ascii="仿宋" w:hAnsi="仿宋" w:eastAsia="仿宋" w:cs="仿宋"/>
          <w:sz w:val="24"/>
          <w:szCs w:val="24"/>
          <w:highlight w:val="none"/>
        </w:rPr>
        <w:t>万元</w:t>
      </w:r>
    </w:p>
    <w:p>
      <w:pPr>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采购需求：软件和数据处理技术服务</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合同履行期限：从合同签订到验收合格（</w:t>
      </w:r>
      <w:r>
        <w:rPr>
          <w:rFonts w:ascii="仿宋" w:hAnsi="仿宋" w:eastAsia="仿宋" w:cs="仿宋"/>
          <w:sz w:val="24"/>
          <w:szCs w:val="24"/>
          <w:highlight w:val="none"/>
        </w:rPr>
        <w:t>60</w:t>
      </w:r>
      <w:r>
        <w:rPr>
          <w:rFonts w:hint="eastAsia" w:ascii="仿宋" w:hAnsi="仿宋" w:eastAsia="仿宋" w:cs="仿宋"/>
          <w:sz w:val="24"/>
          <w:szCs w:val="24"/>
          <w:highlight w:val="none"/>
        </w:rPr>
        <w:t>个自然日）</w:t>
      </w:r>
    </w:p>
    <w:p>
      <w:pPr>
        <w:rPr>
          <w:rFonts w:ascii="仿宋" w:hAnsi="仿宋" w:eastAsia="仿宋"/>
          <w:sz w:val="24"/>
          <w:szCs w:val="28"/>
          <w:highlight w:val="none"/>
          <w:u w:val="single"/>
        </w:rPr>
      </w:pPr>
    </w:p>
    <w:p>
      <w:pPr>
        <w:pStyle w:val="4"/>
        <w:spacing w:line="360" w:lineRule="auto"/>
        <w:rPr>
          <w:rFonts w:ascii="黑体" w:hAnsi="黑体" w:cs="宋体"/>
          <w:b w:val="0"/>
          <w:sz w:val="24"/>
          <w:szCs w:val="28"/>
        </w:rPr>
      </w:pPr>
      <w:bookmarkStart w:id="7" w:name="_Toc35393791"/>
      <w:bookmarkStart w:id="8" w:name="_Toc35393622"/>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28359081"/>
      <w:bookmarkStart w:id="12" w:name="_Toc35393792"/>
      <w:bookmarkStart w:id="13" w:name="_Toc28359004"/>
      <w:bookmarkStart w:id="14" w:name="_Toc35393623"/>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（2）具有良好的商业信誉和健全的财务会计制度（提供2021年度的财务报表或财政部门认可的政府采购专业担保机构出具的投标担保函）；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rPr>
          <w:rFonts w:ascii="仿宋" w:hAnsi="仿宋" w:eastAsia="仿宋" w:cs="宋体"/>
          <w:sz w:val="24"/>
          <w:szCs w:val="28"/>
        </w:rPr>
      </w:pPr>
      <w:bookmarkStart w:id="15" w:name="_Toc28359005"/>
      <w:bookmarkStart w:id="16" w:name="_Toc28359082"/>
      <w:bookmarkStart w:id="17" w:name="_Toc35393793"/>
      <w:bookmarkStart w:id="18"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highlight w:val="none"/>
        </w:rPr>
      </w:pPr>
      <w:bookmarkStart w:id="19" w:name="_Toc28359084"/>
      <w:bookmarkStart w:id="20" w:name="_Toc35393794"/>
      <w:bookmarkStart w:id="21" w:name="_Toc35393625"/>
      <w:bookmarkStart w:id="22" w:name="_Toc28359007"/>
      <w:r>
        <w:rPr>
          <w:rFonts w:ascii="仿宋" w:hAnsi="仿宋" w:eastAsia="仿宋" w:cs="宋体"/>
          <w:sz w:val="24"/>
          <w:szCs w:val="28"/>
        </w:rPr>
        <w:t>递交</w:t>
      </w:r>
      <w:r>
        <w:rPr>
          <w:rFonts w:ascii="仿宋" w:hAnsi="仿宋" w:eastAsia="仿宋" w:cs="宋体"/>
          <w:sz w:val="24"/>
          <w:szCs w:val="28"/>
          <w:highlight w:val="none"/>
        </w:rPr>
        <w:t>响应文件时间：2023年</w:t>
      </w:r>
      <w:r>
        <w:rPr>
          <w:rFonts w:hint="eastAsia" w:ascii="仿宋" w:hAnsi="仿宋" w:eastAsia="仿宋" w:cs="宋体"/>
          <w:sz w:val="24"/>
          <w:szCs w:val="28"/>
          <w:highlight w:val="none"/>
          <w:lang w:val="en-US" w:eastAsia="zh-CN"/>
        </w:rPr>
        <w:t>9</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4</w:t>
      </w:r>
      <w:r>
        <w:rPr>
          <w:rFonts w:ascii="仿宋" w:hAnsi="仿宋" w:eastAsia="仿宋" w:cs="宋体"/>
          <w:sz w:val="24"/>
          <w:szCs w:val="28"/>
          <w:highlight w:val="none"/>
        </w:rPr>
        <w:t>日</w:t>
      </w:r>
      <w:r>
        <w:rPr>
          <w:rFonts w:hint="eastAsia" w:ascii="仿宋" w:hAnsi="仿宋" w:eastAsia="仿宋" w:cs="宋体"/>
          <w:sz w:val="24"/>
          <w:szCs w:val="28"/>
          <w:highlight w:val="none"/>
          <w:lang w:val="en-US" w:eastAsia="zh-CN"/>
        </w:rPr>
        <w:t>14;30-14:59</w:t>
      </w:r>
      <w:r>
        <w:rPr>
          <w:rFonts w:ascii="仿宋" w:hAnsi="仿宋" w:eastAsia="仿宋" w:cs="宋体"/>
          <w:sz w:val="24"/>
          <w:szCs w:val="28"/>
          <w:highlight w:val="none"/>
        </w:rPr>
        <w:t>；</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开标时间：2023年</w:t>
      </w:r>
      <w:r>
        <w:rPr>
          <w:rFonts w:hint="eastAsia" w:ascii="仿宋" w:hAnsi="仿宋" w:eastAsia="仿宋" w:cs="宋体"/>
          <w:sz w:val="24"/>
          <w:szCs w:val="28"/>
          <w:highlight w:val="none"/>
          <w:lang w:val="en-US" w:eastAsia="zh-CN"/>
        </w:rPr>
        <w:t>9</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4</w:t>
      </w:r>
      <w:r>
        <w:rPr>
          <w:rFonts w:ascii="仿宋" w:hAnsi="仿宋" w:eastAsia="仿宋" w:cs="宋体"/>
          <w:sz w:val="24"/>
          <w:szCs w:val="28"/>
          <w:highlight w:val="none"/>
        </w:rPr>
        <w:t>日</w:t>
      </w:r>
      <w:r>
        <w:rPr>
          <w:rFonts w:hint="eastAsia" w:ascii="仿宋" w:hAnsi="仿宋" w:eastAsia="仿宋" w:cs="宋体"/>
          <w:sz w:val="24"/>
          <w:szCs w:val="28"/>
          <w:highlight w:val="none"/>
          <w:lang w:val="en-US" w:eastAsia="zh-CN"/>
        </w:rPr>
        <w:t>15:00</w:t>
      </w:r>
      <w:r>
        <w:rPr>
          <w:rFonts w:ascii="仿宋" w:hAnsi="仿宋" w:eastAsia="仿宋" w:cs="宋体"/>
          <w:sz w:val="24"/>
          <w:szCs w:val="28"/>
          <w:highlight w:val="none"/>
        </w:rPr>
        <w:t>；</w:t>
      </w:r>
      <w:bookmarkStart w:id="34" w:name="_GoBack"/>
      <w:bookmarkEnd w:id="34"/>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投标文件由下述部分组成，递交时应按顺序排列：响应申请及声明（格式）（附件一）；投标人法定代表授权书（附件二）； 分项报价单（附件三）；</w:t>
      </w:r>
      <w:r>
        <w:rPr>
          <w:rFonts w:hint="eastAsia" w:ascii="仿宋" w:hAnsi="仿宋" w:eastAsia="仿宋" w:cs="宋体"/>
          <w:sz w:val="24"/>
          <w:szCs w:val="28"/>
        </w:rPr>
        <w:t>商务条款偏离表</w:t>
      </w:r>
      <w:r>
        <w:rPr>
          <w:rFonts w:ascii="仿宋" w:hAnsi="仿宋" w:eastAsia="仿宋" w:cs="宋体"/>
          <w:sz w:val="24"/>
          <w:szCs w:val="28"/>
        </w:rPr>
        <w:t>（附件四）；</w:t>
      </w:r>
      <w:r>
        <w:rPr>
          <w:rFonts w:hint="eastAsia" w:ascii="仿宋" w:hAnsi="仿宋" w:eastAsia="仿宋" w:cs="宋体"/>
          <w:sz w:val="24"/>
          <w:szCs w:val="28"/>
        </w:rPr>
        <w:t>实施方案（</w:t>
      </w:r>
      <w:r>
        <w:rPr>
          <w:rFonts w:ascii="仿宋" w:hAnsi="仿宋" w:eastAsia="仿宋" w:cs="宋体"/>
          <w:sz w:val="24"/>
          <w:szCs w:val="28"/>
        </w:rPr>
        <w:t>附件五）</w:t>
      </w:r>
      <w:r>
        <w:rPr>
          <w:rFonts w:hint="eastAsia" w:ascii="仿宋" w:hAnsi="仿宋" w:eastAsia="仿宋" w:cs="宋体"/>
          <w:sz w:val="24"/>
          <w:szCs w:val="28"/>
        </w:rPr>
        <w:t>；客户清单（</w:t>
      </w:r>
      <w:r>
        <w:rPr>
          <w:rFonts w:ascii="仿宋" w:hAnsi="仿宋" w:eastAsia="仿宋" w:cs="宋体"/>
          <w:sz w:val="24"/>
          <w:szCs w:val="28"/>
        </w:rPr>
        <w:t>附件</w:t>
      </w:r>
      <w:r>
        <w:rPr>
          <w:rFonts w:hint="eastAsia" w:ascii="仿宋" w:hAnsi="仿宋" w:eastAsia="仿宋" w:cs="宋体"/>
          <w:sz w:val="24"/>
          <w:szCs w:val="28"/>
          <w:lang w:val="en-US" w:eastAsia="zh-CN"/>
        </w:rPr>
        <w:t>六</w:t>
      </w:r>
      <w:r>
        <w:rPr>
          <w:rFonts w:ascii="仿宋" w:hAnsi="仿宋" w:eastAsia="仿宋" w:cs="宋体"/>
          <w:sz w:val="24"/>
          <w:szCs w:val="28"/>
        </w:rPr>
        <w:t>）；</w:t>
      </w:r>
      <w:r>
        <w:rPr>
          <w:rFonts w:hint="eastAsia" w:ascii="仿宋" w:hAnsi="仿宋" w:eastAsia="仿宋" w:cs="宋体"/>
          <w:sz w:val="24"/>
          <w:szCs w:val="28"/>
        </w:rPr>
        <w:t>供应商资格证明材料（</w:t>
      </w:r>
      <w:r>
        <w:rPr>
          <w:rFonts w:ascii="仿宋" w:hAnsi="仿宋" w:eastAsia="仿宋" w:cs="宋体"/>
          <w:sz w:val="24"/>
          <w:szCs w:val="28"/>
        </w:rPr>
        <w:t>附件</w:t>
      </w:r>
      <w:r>
        <w:rPr>
          <w:rFonts w:hint="eastAsia" w:ascii="仿宋" w:hAnsi="仿宋" w:eastAsia="仿宋" w:cs="宋体"/>
          <w:sz w:val="24"/>
          <w:szCs w:val="28"/>
          <w:lang w:val="en-US" w:eastAsia="zh-CN"/>
        </w:rPr>
        <w:t>七</w:t>
      </w:r>
      <w:r>
        <w:rPr>
          <w:rFonts w:hint="eastAsia" w:ascii="仿宋" w:hAnsi="仿宋" w:eastAsia="仿宋" w:cs="宋体"/>
          <w:sz w:val="24"/>
          <w:szCs w:val="28"/>
        </w:rPr>
        <w:t>）；</w:t>
      </w:r>
      <w:r>
        <w:rPr>
          <w:rFonts w:ascii="仿宋" w:hAnsi="仿宋" w:eastAsia="仿宋" w:cs="宋体"/>
          <w:sz w:val="24"/>
          <w:szCs w:val="28"/>
        </w:rPr>
        <w:t>无重大违法记录声明（附件</w:t>
      </w:r>
      <w:r>
        <w:rPr>
          <w:rFonts w:hint="eastAsia" w:ascii="仿宋" w:hAnsi="仿宋" w:eastAsia="仿宋" w:cs="宋体"/>
          <w:sz w:val="24"/>
          <w:szCs w:val="28"/>
          <w:lang w:val="en-US" w:eastAsia="zh-CN"/>
        </w:rPr>
        <w:t>八</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服务</w:t>
      </w:r>
      <w:r>
        <w:rPr>
          <w:rFonts w:ascii="仿宋" w:hAnsi="仿宋" w:eastAsia="仿宋" w:cs="宋体"/>
          <w:sz w:val="24"/>
          <w:szCs w:val="28"/>
        </w:rPr>
        <w:t>负责人情况表；其他相关材料。</w:t>
      </w:r>
    </w:p>
    <w:p>
      <w:pPr>
        <w:pStyle w:val="4"/>
        <w:spacing w:line="360" w:lineRule="auto"/>
        <w:rPr>
          <w:rFonts w:ascii="黑体" w:hAnsi="黑体" w:cs="宋体"/>
          <w:b w:val="0"/>
          <w:sz w:val="24"/>
          <w:szCs w:val="28"/>
        </w:rPr>
      </w:pPr>
      <w:bookmarkStart w:id="25" w:name="_Toc28359085"/>
      <w:bookmarkStart w:id="26" w:name="_Toc28359008"/>
      <w:bookmarkStart w:id="27" w:name="_Toc35393627"/>
      <w:bookmarkStart w:id="28"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李</w:t>
      </w:r>
      <w:r>
        <w:rPr>
          <w:rFonts w:hint="eastAsia" w:ascii="仿宋" w:hAnsi="仿宋" w:eastAsia="仿宋"/>
          <w:sz w:val="24"/>
          <w:szCs w:val="28"/>
          <w:u w:val="single"/>
        </w:rPr>
        <w:t>工</w:t>
      </w:r>
      <w:r>
        <w:rPr>
          <w:rFonts w:hint="eastAsia"/>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9" w:name="_Toc28359086"/>
      <w:bookmarkStart w:id="30" w:name="_Toc28359009"/>
    </w:p>
    <w:p>
      <w:pPr>
        <w:widowControl/>
        <w:jc w:val="left"/>
        <w:rPr>
          <w:rFonts w:ascii="仿宋_GB2312" w:eastAsia="仿宋_GB2312"/>
          <w:sz w:val="24"/>
          <w:szCs w:val="28"/>
        </w:rPr>
      </w:pPr>
      <w:r>
        <w:rPr>
          <w:rFonts w:hint="eastAsia" w:ascii="仿宋" w:hAnsi="仿宋" w:eastAsia="仿宋" w:cs="宋体"/>
          <w:sz w:val="24"/>
          <w:szCs w:val="28"/>
        </w:rPr>
        <w:t>　2.牵头使用科室信息：</w:t>
      </w:r>
      <w:r>
        <w:rPr>
          <w:rFonts w:hint="eastAsia" w:ascii="仿宋" w:hAnsi="仿宋" w:eastAsia="仿宋" w:cs="宋体"/>
          <w:sz w:val="24"/>
          <w:szCs w:val="28"/>
          <w:u w:val="single"/>
        </w:rPr>
        <w:t>洪科</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r>
        <w:rPr>
          <w:rFonts w:ascii="仿宋" w:hAnsi="仿宋" w:eastAsia="仿宋"/>
          <w:sz w:val="24"/>
          <w:szCs w:val="28"/>
          <w:u w:val="single"/>
        </w:rPr>
        <w:t>3</w:t>
      </w:r>
      <w:r>
        <w:rPr>
          <w:rFonts w:hint="eastAsia" w:ascii="仿宋" w:hAnsi="仿宋" w:eastAsia="仿宋"/>
          <w:sz w:val="24"/>
          <w:szCs w:val="28"/>
          <w:u w:val="single"/>
        </w:rPr>
        <w:t xml:space="preserve">9 </w:t>
      </w:r>
    </w:p>
    <w:bookmarkEnd w:id="29"/>
    <w:bookmarkEnd w:id="30"/>
    <w:p>
      <w:pPr>
        <w:widowControl/>
        <w:jc w:val="left"/>
        <w:rPr>
          <w:rFonts w:ascii="仿宋_GB2312" w:eastAsia="仿宋_GB2312"/>
          <w:sz w:val="24"/>
          <w:szCs w:val="28"/>
        </w:rPr>
      </w:pPr>
    </w:p>
    <w:p>
      <w:pPr>
        <w:widowControl/>
        <w:jc w:val="left"/>
        <w:rPr>
          <w:rFonts w:ascii="仿宋" w:hAnsi="仿宋" w:eastAsia="仿宋"/>
          <w:sz w:val="24"/>
          <w:szCs w:val="28"/>
        </w:rPr>
      </w:pPr>
    </w:p>
    <w:p>
      <w:pPr>
        <w:pStyle w:val="3"/>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第二章    评审办法</w:t>
      </w:r>
    </w:p>
    <w:p>
      <w:pPr>
        <w:widowControl/>
        <w:jc w:val="center"/>
        <w:rPr>
          <w:rFonts w:ascii="仿宋" w:hAnsi="仿宋" w:eastAsia="仿宋" w:cs="宋体"/>
          <w:kern w:val="0"/>
          <w:sz w:val="24"/>
          <w:szCs w:val="28"/>
        </w:rPr>
      </w:pPr>
    </w:p>
    <w:p>
      <w:pPr>
        <w:rPr>
          <w:u w:val="single"/>
        </w:rPr>
      </w:pPr>
      <w:r>
        <w:rPr>
          <w:rFonts w:hint="eastAsia"/>
          <w:u w:val="single"/>
        </w:rPr>
        <w:t>1.评分标准附表</w:t>
      </w:r>
    </w:p>
    <w:tbl>
      <w:tblPr>
        <w:tblStyle w:val="2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分数</w:t>
            </w:r>
          </w:p>
        </w:tc>
        <w:tc>
          <w:tcPr>
            <w:tcW w:w="60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1152"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cs="宋体"/>
                <w:sz w:val="20"/>
                <w:szCs w:val="20"/>
              </w:rPr>
            </w:pPr>
            <w:r>
              <w:rPr>
                <w:rFonts w:hint="eastAsia" w:ascii="宋体" w:hAnsi="宋体" w:cs="宋体"/>
                <w:sz w:val="20"/>
                <w:szCs w:val="20"/>
              </w:rPr>
              <w:t>价格</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sz w:val="20"/>
                <w:szCs w:val="20"/>
              </w:rPr>
              <w:t>（</w:t>
            </w:r>
            <w:r>
              <w:rPr>
                <w:rFonts w:ascii="宋体" w:hAnsi="宋体" w:cs="宋体"/>
                <w:sz w:val="20"/>
                <w:szCs w:val="20"/>
              </w:rPr>
              <w:t>30</w:t>
            </w:r>
            <w:r>
              <w:rPr>
                <w:rFonts w:hint="eastAsia" w:ascii="宋体" w:hAnsi="宋体" w:cs="宋体"/>
                <w:sz w:val="20"/>
                <w:szCs w:val="20"/>
              </w:rPr>
              <w:t>分）</w:t>
            </w:r>
          </w:p>
        </w:tc>
        <w:tc>
          <w:tcPr>
            <w:tcW w:w="60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0"/>
                <w:szCs w:val="20"/>
              </w:rPr>
            </w:pPr>
            <w:r>
              <w:rPr>
                <w:rFonts w:hint="eastAsia" w:ascii="宋体" w:hAnsi="宋体" w:cs="宋体"/>
                <w:sz w:val="20"/>
                <w:szCs w:val="20"/>
              </w:rPr>
              <w:t>采用低价优先法计算：以满足招标文件要求且投标价格最低的投标报价为评标基准价，其价格满分</w:t>
            </w:r>
            <w:r>
              <w:rPr>
                <w:rFonts w:ascii="宋体" w:hAnsi="宋体" w:cs="宋体"/>
                <w:sz w:val="20"/>
                <w:szCs w:val="20"/>
              </w:rPr>
              <w:t>30</w:t>
            </w:r>
            <w:r>
              <w:rPr>
                <w:rFonts w:hint="eastAsia" w:ascii="宋体" w:hAnsi="宋体" w:cs="宋体"/>
                <w:sz w:val="20"/>
                <w:szCs w:val="20"/>
              </w:rPr>
              <w:t>分，其他投标人的价格分按照下列公式计算：报价得分=（评标基准价/投标报价）×</w:t>
            </w:r>
            <w:r>
              <w:rPr>
                <w:rFonts w:ascii="宋体" w:hAnsi="宋体" w:cs="宋体"/>
                <w:sz w:val="20"/>
                <w:szCs w:val="20"/>
              </w:rPr>
              <w:t>30</w:t>
            </w:r>
            <w:r>
              <w:rPr>
                <w:rFonts w:hint="eastAsia" w:ascii="宋体" w:hAnsi="宋体" w:cs="宋体"/>
                <w:sz w:val="20"/>
                <w:szCs w:val="20"/>
              </w:rPr>
              <w:t>。当投标报价高于本次服务预算价的，则投标报价无效。分值保留小数点后2位。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49"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115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sz w:val="20"/>
                <w:szCs w:val="20"/>
              </w:rPr>
              <w:t>需求分析报告</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sz w:val="20"/>
                <w:szCs w:val="20"/>
              </w:rPr>
              <w:t xml:space="preserve">（ </w:t>
            </w:r>
            <w:r>
              <w:rPr>
                <w:rFonts w:ascii="宋体" w:hAnsi="宋体" w:cs="宋体"/>
                <w:sz w:val="20"/>
                <w:szCs w:val="20"/>
              </w:rPr>
              <w:t>10</w:t>
            </w:r>
            <w:r>
              <w:rPr>
                <w:rFonts w:hint="eastAsia" w:ascii="宋体" w:hAnsi="宋体" w:cs="宋体"/>
                <w:sz w:val="20"/>
                <w:szCs w:val="20"/>
              </w:rPr>
              <w:t>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rPr>
            </w:pPr>
            <w:r>
              <w:rPr>
                <w:rFonts w:hint="eastAsia" w:ascii="宋体" w:hAnsi="宋体" w:cs="宋体"/>
                <w:sz w:val="20"/>
                <w:szCs w:val="20"/>
              </w:rPr>
              <w:t>供应商提供针对采购人现状和需求的分析报告</w:t>
            </w:r>
          </w:p>
          <w:p>
            <w:pPr>
              <w:widowControl/>
              <w:spacing w:line="360" w:lineRule="auto"/>
              <w:jc w:val="left"/>
              <w:rPr>
                <w:rFonts w:ascii="宋体" w:hAnsi="宋体" w:cs="宋体"/>
                <w:sz w:val="20"/>
                <w:szCs w:val="20"/>
              </w:rPr>
            </w:pPr>
            <w:r>
              <w:rPr>
                <w:rFonts w:hint="eastAsia" w:ascii="宋体" w:hAnsi="宋体" w:cs="宋体"/>
                <w:sz w:val="20"/>
                <w:szCs w:val="20"/>
              </w:rPr>
              <w:t>需求分析报告对采购人现状及业务、技术需求有充分认识和理解，分析科学深入，得</w:t>
            </w:r>
            <w:r>
              <w:rPr>
                <w:rFonts w:ascii="宋体" w:hAnsi="宋体" w:cs="宋体"/>
                <w:sz w:val="20"/>
                <w:szCs w:val="20"/>
              </w:rPr>
              <w:t>10</w:t>
            </w:r>
            <w:r>
              <w:rPr>
                <w:rFonts w:hint="eastAsia" w:ascii="宋体" w:hAnsi="宋体" w:cs="宋体"/>
                <w:sz w:val="20"/>
                <w:szCs w:val="20"/>
              </w:rPr>
              <w:t>分。需求分析报告对采购人现状及业务、技术需求认识和理解</w:t>
            </w:r>
            <w:r>
              <w:rPr>
                <w:rFonts w:hint="eastAsia" w:ascii="宋体" w:hAnsi="宋体" w:cs="宋体"/>
                <w:sz w:val="20"/>
                <w:szCs w:val="20"/>
                <w:lang w:val="en-US" w:eastAsia="zh-CN"/>
              </w:rPr>
              <w:t>较充分</w:t>
            </w:r>
            <w:r>
              <w:rPr>
                <w:rFonts w:hint="eastAsia" w:ascii="宋体" w:hAnsi="宋体" w:cs="宋体"/>
                <w:sz w:val="20"/>
                <w:szCs w:val="20"/>
              </w:rPr>
              <w:t>，分析科学</w:t>
            </w:r>
            <w:r>
              <w:rPr>
                <w:rFonts w:hint="eastAsia" w:ascii="宋体" w:hAnsi="宋体" w:cs="宋体"/>
                <w:sz w:val="20"/>
                <w:szCs w:val="20"/>
                <w:lang w:val="en-US" w:eastAsia="zh-CN"/>
              </w:rPr>
              <w:t>性较强，较深入</w:t>
            </w:r>
            <w:r>
              <w:rPr>
                <w:rFonts w:hint="eastAsia" w:ascii="宋体" w:hAnsi="宋体" w:cs="宋体"/>
                <w:sz w:val="20"/>
                <w:szCs w:val="20"/>
              </w:rPr>
              <w:t>，得</w:t>
            </w:r>
            <w:r>
              <w:rPr>
                <w:rFonts w:hint="eastAsia" w:ascii="宋体" w:hAnsi="宋体" w:cs="宋体"/>
                <w:sz w:val="20"/>
                <w:szCs w:val="20"/>
                <w:lang w:val="en-US" w:eastAsia="zh-CN"/>
              </w:rPr>
              <w:t>7</w:t>
            </w:r>
            <w:r>
              <w:rPr>
                <w:rFonts w:hint="eastAsia" w:ascii="宋体" w:hAnsi="宋体" w:cs="宋体"/>
                <w:sz w:val="20"/>
                <w:szCs w:val="20"/>
              </w:rPr>
              <w:t>分。需求分析报告对采购人现状及业务、技术需求认识和理解</w:t>
            </w:r>
            <w:r>
              <w:rPr>
                <w:rFonts w:hint="eastAsia" w:ascii="宋体" w:hAnsi="宋体" w:cs="宋体"/>
                <w:sz w:val="20"/>
                <w:szCs w:val="20"/>
                <w:lang w:val="en-US" w:eastAsia="zh-CN"/>
              </w:rPr>
              <w:t>不充分</w:t>
            </w:r>
            <w:r>
              <w:rPr>
                <w:rFonts w:hint="eastAsia" w:ascii="宋体" w:hAnsi="宋体" w:cs="宋体"/>
                <w:sz w:val="20"/>
                <w:szCs w:val="20"/>
              </w:rPr>
              <w:t>，分析浅显</w:t>
            </w:r>
            <w:r>
              <w:rPr>
                <w:rFonts w:hint="eastAsia" w:ascii="宋体" w:hAnsi="宋体" w:cs="宋体"/>
                <w:sz w:val="20"/>
                <w:szCs w:val="20"/>
                <w:lang w:val="en-US" w:eastAsia="zh-CN"/>
              </w:rPr>
              <w:t>或有不足</w:t>
            </w:r>
            <w:r>
              <w:rPr>
                <w:rFonts w:hint="eastAsia" w:ascii="宋体" w:hAnsi="宋体" w:cs="宋体"/>
                <w:sz w:val="20"/>
                <w:szCs w:val="20"/>
              </w:rPr>
              <w:t>，</w:t>
            </w:r>
            <w:r>
              <w:rPr>
                <w:rFonts w:hint="eastAsia" w:ascii="宋体" w:hAnsi="宋体" w:cs="宋体"/>
                <w:sz w:val="20"/>
                <w:szCs w:val="20"/>
                <w:lang w:val="en-US" w:eastAsia="zh-CN"/>
              </w:rPr>
              <w:t>得4分</w:t>
            </w:r>
            <w:r>
              <w:rPr>
                <w:rFonts w:hint="eastAsia" w:ascii="宋体" w:hAnsi="宋体" w:cs="宋体"/>
                <w:sz w:val="20"/>
                <w:szCs w:val="20"/>
              </w:rPr>
              <w:t>。</w:t>
            </w:r>
            <w:r>
              <w:rPr>
                <w:rFonts w:hint="eastAsia" w:ascii="宋体" w:hAnsi="宋体" w:cs="宋体"/>
                <w:sz w:val="20"/>
                <w:szCs w:val="20"/>
                <w:lang w:val="en-US" w:eastAsia="zh-CN"/>
              </w:rPr>
              <w:t>有明显的不足或未提供不得分。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tcBorders>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w:t>
            </w:r>
          </w:p>
        </w:tc>
        <w:tc>
          <w:tcPr>
            <w:tcW w:w="1152" w:type="dxa"/>
            <w:tcBorders>
              <w:left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技术方案</w:t>
            </w:r>
          </w:p>
        </w:tc>
        <w:tc>
          <w:tcPr>
            <w:tcW w:w="951"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w:t>
            </w:r>
            <w:r>
              <w:rPr>
                <w:rFonts w:ascii="宋体" w:hAnsi="宋体" w:cs="宋体"/>
                <w:sz w:val="20"/>
                <w:szCs w:val="20"/>
              </w:rPr>
              <w:t>15</w:t>
            </w:r>
            <w:r>
              <w:rPr>
                <w:rFonts w:hint="eastAsia" w:ascii="宋体" w:hAnsi="宋体" w:cs="宋体"/>
                <w:sz w:val="20"/>
                <w:szCs w:val="20"/>
              </w:rPr>
              <w:t>分）</w:t>
            </w:r>
          </w:p>
        </w:tc>
        <w:tc>
          <w:tcPr>
            <w:tcW w:w="6002" w:type="dxa"/>
            <w:tcBorders>
              <w:top w:val="single" w:color="auto" w:sz="4" w:space="0"/>
              <w:left w:val="single" w:color="auto" w:sz="4" w:space="0"/>
              <w:right w:val="single" w:color="auto" w:sz="4" w:space="0"/>
            </w:tcBorders>
            <w:vAlign w:val="center"/>
          </w:tcPr>
          <w:p>
            <w:pPr>
              <w:widowControl/>
              <w:autoSpaceDE w:val="0"/>
              <w:autoSpaceDN w:val="0"/>
              <w:spacing w:line="360" w:lineRule="auto"/>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供应商提供的技术方案符合慢病三高共管与双向转诊随访数据处理</w:t>
            </w:r>
            <w:r>
              <w:rPr>
                <w:rFonts w:hint="eastAsia" w:ascii="宋体" w:hAnsi="宋体"/>
                <w:sz w:val="20"/>
                <w:szCs w:val="20"/>
              </w:rPr>
              <w:t>服务</w:t>
            </w:r>
            <w:r>
              <w:rPr>
                <w:rFonts w:hint="eastAsia" w:ascii="宋体" w:hAnsi="宋体" w:cs="宋体"/>
                <w:color w:val="000000"/>
                <w:kern w:val="0"/>
                <w:sz w:val="20"/>
                <w:szCs w:val="20"/>
                <w:lang w:bidi="zh-CN"/>
              </w:rPr>
              <w:t>需要：</w:t>
            </w:r>
          </w:p>
          <w:p>
            <w:pPr>
              <w:widowControl/>
              <w:autoSpaceDE w:val="0"/>
              <w:autoSpaceDN w:val="0"/>
              <w:spacing w:line="360" w:lineRule="auto"/>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1、“三高共管-高血压随访数据处理服务”技术方案内容详尽、合理可行，方案整体性、可靠性、先进性、兼容性较好，业务功能需求理解深入详细得</w:t>
            </w:r>
            <w:r>
              <w:rPr>
                <w:rFonts w:ascii="宋体" w:hAnsi="宋体" w:cs="宋体"/>
                <w:color w:val="000000"/>
                <w:kern w:val="0"/>
                <w:sz w:val="20"/>
                <w:szCs w:val="20"/>
                <w:lang w:bidi="zh-CN"/>
              </w:rPr>
              <w:t>5</w:t>
            </w:r>
            <w:r>
              <w:rPr>
                <w:rFonts w:hint="eastAsia" w:ascii="宋体" w:hAnsi="宋体" w:cs="宋体"/>
                <w:color w:val="000000"/>
                <w:kern w:val="0"/>
                <w:sz w:val="20"/>
                <w:szCs w:val="20"/>
                <w:lang w:bidi="zh-CN"/>
              </w:rPr>
              <w:t>分；</w:t>
            </w:r>
          </w:p>
          <w:p>
            <w:pPr>
              <w:widowControl/>
              <w:autoSpaceDE w:val="0"/>
              <w:autoSpaceDN w:val="0"/>
              <w:spacing w:line="360" w:lineRule="auto"/>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投标技术方案内容基本完整，方案科学、基本合理可行，基本满足用户实际使用及需求得3分；</w:t>
            </w:r>
          </w:p>
          <w:p>
            <w:pPr>
              <w:widowControl/>
              <w:spacing w:line="360" w:lineRule="auto"/>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供应商仅能提供投标技术方案，且内容简单粗略、对服务理解不够详细，片面表达的方案，得0分。</w:t>
            </w:r>
          </w:p>
          <w:p>
            <w:pPr>
              <w:pStyle w:val="9"/>
              <w:rPr>
                <w:rFonts w:ascii="宋体" w:hAnsi="宋体" w:cs="宋体"/>
                <w:sz w:val="20"/>
                <w:szCs w:val="20"/>
                <w:lang w:bidi="zh-CN"/>
              </w:rPr>
            </w:pPr>
            <w:r>
              <w:rPr>
                <w:rFonts w:hint="eastAsia" w:ascii="宋体" w:hAnsi="宋体" w:cs="宋体"/>
                <w:sz w:val="20"/>
                <w:szCs w:val="20"/>
                <w:lang w:bidi="zh-CN"/>
              </w:rPr>
              <w:t>2、“</w:t>
            </w:r>
            <w:r>
              <w:rPr>
                <w:rFonts w:hint="eastAsia" w:ascii="宋体" w:hAnsi="宋体" w:cs="宋体"/>
                <w:color w:val="000000"/>
                <w:kern w:val="0"/>
                <w:sz w:val="20"/>
                <w:szCs w:val="20"/>
                <w:lang w:bidi="zh-CN"/>
              </w:rPr>
              <w:t>三高共管-糖尿病随访数据处理服务</w:t>
            </w:r>
            <w:r>
              <w:rPr>
                <w:rFonts w:hint="eastAsia" w:ascii="宋体" w:hAnsi="宋体" w:cs="宋体"/>
                <w:sz w:val="20"/>
                <w:szCs w:val="20"/>
                <w:lang w:bidi="zh-CN"/>
              </w:rPr>
              <w:t>”技术方案内容详尽、合理可行，方案整体性、可靠性、先进性、兼容性较好，业务功能需求理解深入详细得</w:t>
            </w:r>
            <w:r>
              <w:rPr>
                <w:rFonts w:ascii="宋体" w:hAnsi="宋体" w:cs="宋体"/>
                <w:sz w:val="20"/>
                <w:szCs w:val="20"/>
                <w:lang w:bidi="zh-CN"/>
              </w:rPr>
              <w:t>5</w:t>
            </w:r>
            <w:r>
              <w:rPr>
                <w:rFonts w:hint="eastAsia" w:ascii="宋体" w:hAnsi="宋体" w:cs="宋体"/>
                <w:sz w:val="20"/>
                <w:szCs w:val="20"/>
                <w:lang w:bidi="zh-CN"/>
              </w:rPr>
              <w:t>分；</w:t>
            </w:r>
          </w:p>
          <w:p>
            <w:pPr>
              <w:pStyle w:val="9"/>
              <w:rPr>
                <w:rFonts w:ascii="宋体" w:hAnsi="宋体" w:cs="宋体"/>
                <w:sz w:val="20"/>
                <w:szCs w:val="20"/>
                <w:lang w:bidi="zh-CN"/>
              </w:rPr>
            </w:pPr>
            <w:r>
              <w:rPr>
                <w:rFonts w:hint="eastAsia" w:ascii="宋体" w:hAnsi="宋体" w:cs="宋体"/>
                <w:sz w:val="20"/>
                <w:szCs w:val="20"/>
                <w:lang w:bidi="zh-CN"/>
              </w:rPr>
              <w:t>投标技术方案内容基本完整，方案科学、基本合理可行，基本满足用户实际使用及需求得3分；</w:t>
            </w:r>
          </w:p>
          <w:p>
            <w:pPr>
              <w:pStyle w:val="9"/>
              <w:widowControl/>
              <w:autoSpaceDE w:val="0"/>
              <w:autoSpaceDN w:val="0"/>
              <w:jc w:val="left"/>
              <w:rPr>
                <w:rFonts w:ascii="宋体" w:hAnsi="宋体" w:cs="宋体"/>
                <w:color w:val="000000"/>
                <w:kern w:val="0"/>
                <w:sz w:val="20"/>
                <w:szCs w:val="20"/>
                <w:lang w:bidi="zh-CN"/>
              </w:rPr>
            </w:pPr>
            <w:r>
              <w:rPr>
                <w:rFonts w:hint="eastAsia" w:ascii="宋体" w:hAnsi="宋体" w:cs="宋体"/>
                <w:sz w:val="20"/>
                <w:szCs w:val="20"/>
                <w:lang w:bidi="zh-CN"/>
              </w:rPr>
              <w:t>供应商仅能提供投标技术方案，且内容简单粗略、对服务理解不够详细，片面表达的方案，得0分。</w:t>
            </w:r>
          </w:p>
          <w:p>
            <w:pPr>
              <w:widowControl/>
              <w:autoSpaceDE w:val="0"/>
              <w:autoSpaceDN w:val="0"/>
              <w:spacing w:line="360" w:lineRule="auto"/>
              <w:jc w:val="left"/>
              <w:rPr>
                <w:rFonts w:ascii="宋体" w:hAnsi="宋体" w:cs="宋体"/>
                <w:color w:val="000000"/>
                <w:kern w:val="0"/>
                <w:sz w:val="20"/>
                <w:szCs w:val="20"/>
                <w:lang w:bidi="zh-CN"/>
              </w:rPr>
            </w:pPr>
            <w:r>
              <w:rPr>
                <w:rFonts w:ascii="宋体" w:hAnsi="宋体" w:cs="宋体"/>
                <w:color w:val="000000"/>
                <w:kern w:val="0"/>
                <w:sz w:val="20"/>
                <w:szCs w:val="20"/>
                <w:lang w:bidi="zh-CN"/>
              </w:rPr>
              <w:t>3</w:t>
            </w:r>
            <w:r>
              <w:rPr>
                <w:rFonts w:hint="eastAsia" w:ascii="宋体" w:hAnsi="宋体" w:cs="宋体"/>
                <w:color w:val="000000"/>
                <w:kern w:val="0"/>
                <w:sz w:val="20"/>
                <w:szCs w:val="20"/>
                <w:lang w:bidi="zh-CN"/>
              </w:rPr>
              <w:t>、“双向转诊数据处理服务”技术方案内容详尽、合理可行，方案整体性、可靠性、先进性、兼容性较好，业务功能需求理解深入详细得</w:t>
            </w:r>
            <w:r>
              <w:rPr>
                <w:rFonts w:ascii="宋体" w:hAnsi="宋体" w:cs="宋体"/>
                <w:color w:val="000000"/>
                <w:kern w:val="0"/>
                <w:sz w:val="20"/>
                <w:szCs w:val="20"/>
                <w:lang w:bidi="zh-CN"/>
              </w:rPr>
              <w:t>5</w:t>
            </w:r>
            <w:r>
              <w:rPr>
                <w:rFonts w:hint="eastAsia" w:ascii="宋体" w:hAnsi="宋体" w:cs="宋体"/>
                <w:color w:val="000000"/>
                <w:kern w:val="0"/>
                <w:sz w:val="20"/>
                <w:szCs w:val="20"/>
                <w:lang w:bidi="zh-CN"/>
              </w:rPr>
              <w:t>分；</w:t>
            </w:r>
          </w:p>
          <w:p>
            <w:pPr>
              <w:widowControl/>
              <w:autoSpaceDE w:val="0"/>
              <w:autoSpaceDN w:val="0"/>
              <w:spacing w:line="360" w:lineRule="auto"/>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投标技术方案内容基本完整，方案科学、基本合理可行，基本满足用户实际使用及需求得3分；</w:t>
            </w:r>
          </w:p>
          <w:p>
            <w:pPr>
              <w:pStyle w:val="9"/>
              <w:widowControl/>
              <w:autoSpaceDE w:val="0"/>
              <w:autoSpaceDN w:val="0"/>
              <w:jc w:val="left"/>
              <w:rPr>
                <w:rFonts w:ascii="宋体" w:hAnsi="宋体" w:cs="宋体"/>
                <w:color w:val="000000"/>
                <w:kern w:val="0"/>
                <w:sz w:val="20"/>
                <w:szCs w:val="20"/>
                <w:lang w:bidi="zh-CN"/>
              </w:rPr>
            </w:pPr>
            <w:r>
              <w:rPr>
                <w:rFonts w:hint="eastAsia" w:ascii="宋体" w:hAnsi="宋体" w:cs="宋体"/>
                <w:color w:val="000000"/>
                <w:kern w:val="0"/>
                <w:sz w:val="20"/>
                <w:szCs w:val="20"/>
                <w:lang w:bidi="zh-CN"/>
              </w:rPr>
              <w:t>供应商仅能提供投标技术方案，且内容简单粗略、对服务理解不够详细，片面表达的方案，得0分。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tcBorders>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w:t>
            </w:r>
          </w:p>
        </w:tc>
        <w:tc>
          <w:tcPr>
            <w:tcW w:w="1152" w:type="dxa"/>
            <w:tcBorders>
              <w:left w:val="single" w:color="auto" w:sz="4" w:space="0"/>
              <w:right w:val="single" w:color="auto" w:sz="4" w:space="0"/>
            </w:tcBorders>
            <w:vAlign w:val="center"/>
          </w:tcPr>
          <w:p>
            <w:pPr>
              <w:widowControl/>
              <w:adjustRightInd w:val="0"/>
              <w:snapToGrid w:val="0"/>
              <w:spacing w:line="560" w:lineRule="exact"/>
              <w:jc w:val="center"/>
              <w:rPr>
                <w:rFonts w:ascii="宋体" w:hAnsi="宋体" w:cs="宋体"/>
                <w:color w:val="000000"/>
                <w:kern w:val="0"/>
                <w:sz w:val="20"/>
                <w:szCs w:val="20"/>
              </w:rPr>
            </w:pPr>
            <w:r>
              <w:rPr>
                <w:rFonts w:hint="eastAsia" w:ascii="宋体" w:hAnsi="宋体" w:cs="宋体"/>
                <w:color w:val="000000"/>
                <w:kern w:val="0"/>
                <w:sz w:val="20"/>
                <w:szCs w:val="20"/>
              </w:rPr>
              <w:t>实施方案</w:t>
            </w:r>
          </w:p>
        </w:tc>
        <w:tc>
          <w:tcPr>
            <w:tcW w:w="951"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w:t>
            </w:r>
            <w:r>
              <w:rPr>
                <w:rFonts w:ascii="宋体" w:hAnsi="宋体" w:cs="宋体"/>
                <w:sz w:val="20"/>
                <w:szCs w:val="20"/>
              </w:rPr>
              <w:t>15</w:t>
            </w:r>
            <w:r>
              <w:rPr>
                <w:rFonts w:hint="eastAsia" w:ascii="宋体" w:hAnsi="宋体" w:cs="宋体"/>
                <w:sz w:val="20"/>
                <w:szCs w:val="20"/>
              </w:rPr>
              <w:t>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rPr>
            </w:pPr>
            <w:r>
              <w:rPr>
                <w:rFonts w:hint="eastAsia" w:ascii="宋体" w:hAnsi="宋体" w:cs="宋体"/>
                <w:sz w:val="20"/>
                <w:szCs w:val="20"/>
              </w:rPr>
              <w:t>实施方案全面，具有合理的进度安排、组织架构，具有良好的进度控制、风险控制管理、质量保障措施、数据安全管理措施、文档管理措施，得</w:t>
            </w:r>
            <w:r>
              <w:rPr>
                <w:rFonts w:ascii="宋体" w:hAnsi="宋体" w:cs="宋体"/>
                <w:sz w:val="20"/>
                <w:szCs w:val="20"/>
              </w:rPr>
              <w:t>15</w:t>
            </w:r>
            <w:r>
              <w:rPr>
                <w:rFonts w:hint="eastAsia" w:ascii="宋体" w:hAnsi="宋体" w:cs="宋体"/>
                <w:sz w:val="20"/>
                <w:szCs w:val="20"/>
              </w:rPr>
              <w:t>分；</w:t>
            </w:r>
          </w:p>
          <w:p>
            <w:pPr>
              <w:widowControl/>
              <w:spacing w:line="360" w:lineRule="auto"/>
              <w:jc w:val="left"/>
              <w:rPr>
                <w:rFonts w:ascii="宋体" w:hAnsi="宋体" w:cs="宋体"/>
                <w:sz w:val="20"/>
                <w:szCs w:val="20"/>
              </w:rPr>
            </w:pPr>
            <w:r>
              <w:rPr>
                <w:rFonts w:hint="eastAsia" w:ascii="宋体" w:hAnsi="宋体" w:cs="宋体"/>
                <w:sz w:val="20"/>
                <w:szCs w:val="20"/>
              </w:rPr>
              <w:t>实施方案基本全面，进度安排、组织架构，进度控制、风险控制管理、质量保障措施、数据安全管理措施、文档管理措施基本合理，得</w:t>
            </w:r>
            <w:r>
              <w:rPr>
                <w:rFonts w:hint="eastAsia" w:ascii="宋体" w:hAnsi="宋体" w:cs="宋体"/>
                <w:sz w:val="20"/>
                <w:szCs w:val="20"/>
                <w:lang w:val="en-US" w:eastAsia="zh-CN"/>
              </w:rPr>
              <w:t>12</w:t>
            </w:r>
            <w:r>
              <w:rPr>
                <w:rFonts w:hint="eastAsia" w:ascii="宋体" w:hAnsi="宋体" w:cs="宋体"/>
                <w:sz w:val="20"/>
                <w:szCs w:val="20"/>
              </w:rPr>
              <w:t>分；</w:t>
            </w:r>
          </w:p>
          <w:p>
            <w:pPr>
              <w:widowControl/>
              <w:spacing w:line="360" w:lineRule="auto"/>
              <w:jc w:val="left"/>
              <w:rPr>
                <w:rFonts w:hint="eastAsia" w:ascii="宋体" w:hAnsi="宋体" w:cs="宋体"/>
                <w:sz w:val="20"/>
                <w:szCs w:val="20"/>
                <w:lang w:eastAsia="zh-CN"/>
              </w:rPr>
            </w:pPr>
            <w:r>
              <w:rPr>
                <w:rFonts w:hint="eastAsia" w:ascii="宋体" w:hAnsi="宋体" w:cs="宋体"/>
                <w:sz w:val="20"/>
                <w:szCs w:val="20"/>
              </w:rPr>
              <w:t>实施方案基本全面，进度安排、组织架构，进度控制、风险控制管理、质量保障措施、数据安全管理措施、文档管理措施</w:t>
            </w:r>
            <w:r>
              <w:rPr>
                <w:rFonts w:hint="eastAsia" w:ascii="宋体" w:hAnsi="宋体" w:cs="宋体"/>
                <w:sz w:val="20"/>
                <w:szCs w:val="20"/>
                <w:lang w:val="en-US" w:eastAsia="zh-CN"/>
              </w:rPr>
              <w:t>不够</w:t>
            </w:r>
            <w:r>
              <w:rPr>
                <w:rFonts w:hint="eastAsia" w:ascii="宋体" w:hAnsi="宋体" w:cs="宋体"/>
                <w:sz w:val="20"/>
                <w:szCs w:val="20"/>
              </w:rPr>
              <w:t>合理，得</w:t>
            </w:r>
            <w:r>
              <w:rPr>
                <w:rFonts w:hint="eastAsia" w:ascii="宋体" w:hAnsi="宋体" w:cs="宋体"/>
                <w:sz w:val="20"/>
                <w:szCs w:val="20"/>
                <w:lang w:val="en-US" w:eastAsia="zh-CN"/>
              </w:rPr>
              <w:t>9</w:t>
            </w:r>
            <w:r>
              <w:rPr>
                <w:rFonts w:hint="eastAsia" w:ascii="宋体" w:hAnsi="宋体" w:cs="宋体"/>
                <w:sz w:val="20"/>
                <w:szCs w:val="20"/>
              </w:rPr>
              <w:t>分</w:t>
            </w:r>
            <w:r>
              <w:rPr>
                <w:rFonts w:hint="eastAsia" w:ascii="宋体" w:hAnsi="宋体" w:cs="宋体"/>
                <w:sz w:val="20"/>
                <w:szCs w:val="20"/>
                <w:lang w:eastAsia="zh-CN"/>
              </w:rPr>
              <w:t>；</w:t>
            </w:r>
          </w:p>
          <w:p>
            <w:pPr>
              <w:widowControl/>
              <w:spacing w:line="360" w:lineRule="auto"/>
              <w:jc w:val="left"/>
              <w:rPr>
                <w:rFonts w:ascii="宋体" w:hAnsi="宋体" w:cs="宋体"/>
                <w:sz w:val="20"/>
                <w:szCs w:val="20"/>
              </w:rPr>
            </w:pPr>
            <w:r>
              <w:rPr>
                <w:rFonts w:hint="eastAsia" w:ascii="宋体" w:hAnsi="宋体" w:cs="宋体"/>
                <w:sz w:val="20"/>
                <w:szCs w:val="20"/>
              </w:rPr>
              <w:t>实施方案不全面，进度安排、组织架构不合理，没有进度控制、风险控制管理、质量保障措施、数据安全管理措施、文档管理措施，得</w:t>
            </w:r>
            <w:r>
              <w:rPr>
                <w:rFonts w:hint="eastAsia" w:ascii="宋体" w:hAnsi="宋体" w:cs="宋体"/>
                <w:sz w:val="20"/>
                <w:szCs w:val="20"/>
                <w:lang w:val="en-US" w:eastAsia="zh-CN"/>
              </w:rPr>
              <w:t>0</w:t>
            </w:r>
            <w:r>
              <w:rPr>
                <w:rFonts w:hint="eastAsia" w:ascii="宋体" w:hAnsi="宋体" w:cs="宋体"/>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tcBorders>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1152" w:type="dxa"/>
            <w:tcBorders>
              <w:left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培训方案</w:t>
            </w:r>
          </w:p>
        </w:tc>
        <w:tc>
          <w:tcPr>
            <w:tcW w:w="951"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w:t>
            </w:r>
            <w:r>
              <w:rPr>
                <w:rFonts w:ascii="宋体" w:hAnsi="宋体" w:cs="宋体"/>
                <w:sz w:val="20"/>
                <w:szCs w:val="20"/>
              </w:rPr>
              <w:t>5</w:t>
            </w:r>
            <w:r>
              <w:rPr>
                <w:rFonts w:hint="eastAsia" w:ascii="宋体" w:hAnsi="宋体" w:cs="宋体"/>
                <w:sz w:val="20"/>
                <w:szCs w:val="20"/>
              </w:rPr>
              <w:t>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rPr>
            </w:pPr>
            <w:r>
              <w:rPr>
                <w:rFonts w:hint="eastAsia" w:ascii="宋体" w:hAnsi="宋体" w:cs="宋体"/>
                <w:sz w:val="20"/>
                <w:szCs w:val="20"/>
              </w:rPr>
              <w:t>培训方案全面合理有效，具有详细的培训计划、培训师资力量、培训内容，得</w:t>
            </w:r>
            <w:r>
              <w:rPr>
                <w:rFonts w:ascii="宋体" w:hAnsi="宋体" w:cs="宋体"/>
                <w:sz w:val="20"/>
                <w:szCs w:val="20"/>
              </w:rPr>
              <w:t>5</w:t>
            </w:r>
            <w:r>
              <w:rPr>
                <w:rFonts w:hint="eastAsia" w:ascii="宋体" w:hAnsi="宋体" w:cs="宋体"/>
                <w:sz w:val="20"/>
                <w:szCs w:val="20"/>
              </w:rPr>
              <w:t>分。</w:t>
            </w:r>
          </w:p>
          <w:p>
            <w:pPr>
              <w:widowControl/>
              <w:spacing w:line="360" w:lineRule="auto"/>
              <w:jc w:val="left"/>
              <w:rPr>
                <w:rFonts w:ascii="宋体" w:hAnsi="宋体" w:cs="宋体"/>
                <w:sz w:val="20"/>
                <w:szCs w:val="20"/>
              </w:rPr>
            </w:pPr>
            <w:r>
              <w:rPr>
                <w:rFonts w:hint="eastAsia" w:ascii="宋体" w:hAnsi="宋体" w:cs="宋体"/>
                <w:sz w:val="20"/>
                <w:szCs w:val="20"/>
              </w:rPr>
              <w:t>培训方案不够全面，有效性欠缺，培训计划、培训师资力量、培训内容不够详细，得</w:t>
            </w:r>
            <w:r>
              <w:rPr>
                <w:rFonts w:ascii="宋体" w:hAnsi="宋体" w:cs="宋体"/>
                <w:sz w:val="20"/>
                <w:szCs w:val="20"/>
              </w:rPr>
              <w:t>3</w:t>
            </w:r>
            <w:r>
              <w:rPr>
                <w:rFonts w:hint="eastAsia" w:ascii="宋体" w:hAnsi="宋体" w:cs="宋体"/>
                <w:sz w:val="20"/>
                <w:szCs w:val="20"/>
              </w:rPr>
              <w:t>分。</w:t>
            </w:r>
          </w:p>
          <w:p>
            <w:pPr>
              <w:widowControl/>
              <w:spacing w:line="360" w:lineRule="auto"/>
              <w:jc w:val="left"/>
              <w:rPr>
                <w:rFonts w:ascii="宋体" w:hAnsi="宋体" w:cs="宋体"/>
                <w:sz w:val="20"/>
                <w:szCs w:val="20"/>
              </w:rPr>
            </w:pPr>
            <w:r>
              <w:rPr>
                <w:rFonts w:hint="eastAsia" w:ascii="宋体" w:hAnsi="宋体" w:cs="宋体"/>
                <w:sz w:val="20"/>
                <w:szCs w:val="20"/>
              </w:rPr>
              <w:t>培训方案片面，不具有执行有效性，培训计划、培训师资力量、培训内容不详细，得0分。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tcBorders>
              <w:left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9</w:t>
            </w:r>
          </w:p>
          <w:p>
            <w:pPr>
              <w:pStyle w:val="2"/>
              <w:ind w:left="1260"/>
            </w:pPr>
            <w:r>
              <w:rPr>
                <w:rFonts w:hint="eastAsia"/>
              </w:rPr>
              <w:t>9</w:t>
            </w:r>
          </w:p>
        </w:tc>
        <w:tc>
          <w:tcPr>
            <w:tcW w:w="1152" w:type="dxa"/>
            <w:tcBorders>
              <w:left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lang w:eastAsia="zh-Hans"/>
              </w:rPr>
              <w:t>供应商能力认证</w:t>
            </w:r>
          </w:p>
        </w:tc>
        <w:tc>
          <w:tcPr>
            <w:tcW w:w="951"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r>
              <w:rPr>
                <w:rFonts w:hint="eastAsia" w:ascii="宋体" w:hAnsi="宋体" w:cs="宋体"/>
                <w:sz w:val="20"/>
                <w:szCs w:val="20"/>
              </w:rPr>
              <w:t>（1</w:t>
            </w:r>
            <w:r>
              <w:rPr>
                <w:rFonts w:ascii="宋体" w:hAnsi="宋体" w:cs="宋体"/>
                <w:sz w:val="20"/>
                <w:szCs w:val="20"/>
              </w:rPr>
              <w:t>1</w:t>
            </w:r>
            <w:r>
              <w:rPr>
                <w:rFonts w:hint="eastAsia" w:ascii="宋体" w:hAnsi="宋体" w:cs="宋体"/>
                <w:sz w:val="20"/>
                <w:szCs w:val="20"/>
              </w:rPr>
              <w:t>分）</w:t>
            </w:r>
          </w:p>
        </w:tc>
        <w:tc>
          <w:tcPr>
            <w:tcW w:w="6002"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lang w:bidi="ar"/>
              </w:rPr>
            </w:pPr>
            <w:r>
              <w:rPr>
                <w:rFonts w:hint="eastAsia" w:ascii="宋体" w:hAnsi="宋体" w:cs="宋体"/>
                <w:sz w:val="20"/>
                <w:szCs w:val="20"/>
                <w:lang w:bidi="ar"/>
              </w:rPr>
              <w:t>供应商提供有效期内CCRC 信息安全服务资质证明，得3分；</w:t>
            </w:r>
          </w:p>
          <w:p>
            <w:pPr>
              <w:widowControl/>
              <w:spacing w:line="360" w:lineRule="auto"/>
              <w:jc w:val="left"/>
              <w:rPr>
                <w:rFonts w:ascii="宋体" w:hAnsi="宋体" w:cs="宋体"/>
                <w:sz w:val="20"/>
                <w:szCs w:val="20"/>
                <w:lang w:bidi="ar"/>
              </w:rPr>
            </w:pPr>
            <w:r>
              <w:rPr>
                <w:rFonts w:hint="eastAsia" w:ascii="宋体" w:hAnsi="宋体" w:cs="宋体"/>
                <w:sz w:val="20"/>
                <w:szCs w:val="20"/>
                <w:lang w:bidi="ar"/>
              </w:rPr>
              <w:t>供应商提供有效期内CMMI 3级及以上证书，得2分；</w:t>
            </w:r>
          </w:p>
          <w:p>
            <w:pPr>
              <w:widowControl/>
              <w:spacing w:line="360" w:lineRule="auto"/>
              <w:jc w:val="left"/>
              <w:rPr>
                <w:rFonts w:ascii="宋体" w:hAnsi="宋体" w:cs="宋体"/>
                <w:sz w:val="20"/>
                <w:szCs w:val="20"/>
                <w:lang w:bidi="ar"/>
              </w:rPr>
            </w:pPr>
            <w:r>
              <w:rPr>
                <w:rFonts w:hint="eastAsia" w:ascii="宋体" w:hAnsi="宋体" w:cs="宋体"/>
                <w:sz w:val="20"/>
                <w:szCs w:val="20"/>
                <w:lang w:bidi="ar"/>
              </w:rPr>
              <w:t>供应商提供有效期内信息技术服务标准ITSS 运行维护 3级及以上证书，得2分；</w:t>
            </w:r>
          </w:p>
          <w:p>
            <w:pPr>
              <w:widowControl/>
              <w:spacing w:line="360" w:lineRule="auto"/>
              <w:jc w:val="left"/>
              <w:rPr>
                <w:rFonts w:ascii="宋体" w:hAnsi="宋体" w:cs="宋体"/>
                <w:sz w:val="20"/>
                <w:szCs w:val="20"/>
                <w:lang w:bidi="ar"/>
              </w:rPr>
            </w:pPr>
            <w:r>
              <w:rPr>
                <w:rFonts w:hint="eastAsia" w:ascii="宋体" w:hAnsi="宋体" w:cs="宋体"/>
                <w:sz w:val="20"/>
                <w:szCs w:val="20"/>
                <w:lang w:bidi="ar"/>
              </w:rPr>
              <w:t>供应商提供有效期内质量管理体系认证证书，得2分；</w:t>
            </w:r>
          </w:p>
          <w:p>
            <w:pPr>
              <w:widowControl/>
              <w:spacing w:line="360" w:lineRule="auto"/>
              <w:jc w:val="left"/>
              <w:rPr>
                <w:rFonts w:ascii="宋体" w:hAnsi="宋体" w:cs="宋体"/>
                <w:sz w:val="20"/>
                <w:szCs w:val="20"/>
                <w:lang w:bidi="ar"/>
              </w:rPr>
            </w:pPr>
            <w:r>
              <w:rPr>
                <w:rFonts w:hint="eastAsia" w:ascii="宋体" w:hAnsi="宋体" w:cs="宋体"/>
                <w:sz w:val="20"/>
                <w:szCs w:val="20"/>
                <w:lang w:bidi="ar"/>
              </w:rPr>
              <w:t>供应商提供有效期内环境体系认证证书，得1分；</w:t>
            </w:r>
          </w:p>
          <w:p>
            <w:pPr>
              <w:widowControl/>
              <w:spacing w:line="360" w:lineRule="auto"/>
              <w:jc w:val="left"/>
              <w:rPr>
                <w:rFonts w:ascii="宋体" w:hAnsi="宋体" w:cs="宋体"/>
                <w:sz w:val="20"/>
                <w:szCs w:val="20"/>
                <w:lang w:bidi="ar"/>
              </w:rPr>
            </w:pPr>
            <w:r>
              <w:rPr>
                <w:rFonts w:hint="eastAsia" w:ascii="宋体" w:hAnsi="宋体" w:cs="宋体"/>
                <w:sz w:val="20"/>
                <w:szCs w:val="20"/>
                <w:lang w:bidi="ar"/>
              </w:rPr>
              <w:t>供应商提供有效期内职业健康管理体系认证，得1分；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10</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业绩</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分）</w:t>
            </w:r>
          </w:p>
        </w:tc>
        <w:tc>
          <w:tcPr>
            <w:tcW w:w="60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2019年8月以来，投标人具有类似数据对接服务、数据处理服务的案例，每个得</w:t>
            </w:r>
            <w:r>
              <w:rPr>
                <w:rFonts w:ascii="宋体" w:hAnsi="宋体" w:cs="宋体"/>
                <w:kern w:val="0"/>
                <w:sz w:val="20"/>
                <w:szCs w:val="20"/>
              </w:rPr>
              <w:t>2</w:t>
            </w:r>
            <w:r>
              <w:rPr>
                <w:rFonts w:hint="eastAsia" w:ascii="宋体" w:hAnsi="宋体" w:cs="宋体"/>
                <w:kern w:val="0"/>
                <w:sz w:val="20"/>
                <w:szCs w:val="20"/>
              </w:rPr>
              <w:t>分,此项最多得</w:t>
            </w:r>
            <w:r>
              <w:rPr>
                <w:rFonts w:ascii="宋体" w:hAnsi="宋体" w:cs="宋体"/>
                <w:kern w:val="0"/>
                <w:sz w:val="20"/>
                <w:szCs w:val="20"/>
              </w:rPr>
              <w:t>4</w:t>
            </w:r>
            <w:r>
              <w:rPr>
                <w:rFonts w:hint="eastAsia" w:ascii="宋体" w:hAnsi="宋体" w:cs="宋体"/>
                <w:kern w:val="0"/>
                <w:sz w:val="20"/>
                <w:szCs w:val="20"/>
              </w:rPr>
              <w:t>分。</w:t>
            </w:r>
            <w:r>
              <w:rPr>
                <w:rFonts w:hint="eastAsia" w:ascii="宋体" w:hAnsi="宋体" w:cs="宋体"/>
                <w:b/>
                <w:bCs/>
                <w:kern w:val="0"/>
                <w:sz w:val="20"/>
                <w:szCs w:val="20"/>
              </w:rPr>
              <w:t>（须提供相应的政府采购中标通知书或合同复印件加盖公章）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11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人员能力</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分）</w:t>
            </w:r>
          </w:p>
        </w:tc>
        <w:tc>
          <w:tcPr>
            <w:tcW w:w="60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服务团队成员具备高级软件工程师证书、高级软件测试工程师证书、数据库管理师证书、信息类中级职称证书、P</w:t>
            </w:r>
            <w:r>
              <w:rPr>
                <w:rFonts w:ascii="宋体" w:hAnsi="宋体" w:cs="宋体"/>
                <w:kern w:val="0"/>
                <w:sz w:val="20"/>
                <w:szCs w:val="20"/>
              </w:rPr>
              <w:t>MP</w:t>
            </w:r>
            <w:r>
              <w:rPr>
                <w:rFonts w:hint="eastAsia" w:ascii="宋体" w:hAnsi="宋体" w:cs="宋体"/>
                <w:kern w:val="0"/>
                <w:sz w:val="20"/>
                <w:szCs w:val="20"/>
              </w:rPr>
              <w:t xml:space="preserve">证书，每提供一类证书得 </w:t>
            </w:r>
            <w:r>
              <w:rPr>
                <w:rFonts w:ascii="宋体" w:hAnsi="宋体" w:cs="宋体"/>
                <w:kern w:val="0"/>
                <w:sz w:val="20"/>
                <w:szCs w:val="20"/>
              </w:rPr>
              <w:t>2</w:t>
            </w:r>
            <w:r>
              <w:rPr>
                <w:rFonts w:hint="eastAsia" w:ascii="宋体" w:hAnsi="宋体" w:cs="宋体"/>
                <w:kern w:val="0"/>
                <w:sz w:val="20"/>
                <w:szCs w:val="20"/>
              </w:rPr>
              <w:t xml:space="preserve"> 分，最多得</w:t>
            </w:r>
            <w:r>
              <w:rPr>
                <w:rFonts w:ascii="宋体" w:hAnsi="宋体" w:cs="宋体"/>
                <w:kern w:val="0"/>
                <w:sz w:val="20"/>
                <w:szCs w:val="20"/>
              </w:rPr>
              <w:t>10</w:t>
            </w:r>
            <w:r>
              <w:rPr>
                <w:rFonts w:hint="eastAsia" w:ascii="宋体" w:hAnsi="宋体" w:cs="宋体"/>
                <w:kern w:val="0"/>
                <w:sz w:val="20"/>
                <w:szCs w:val="20"/>
              </w:rPr>
              <w:t xml:space="preserve"> 分（注：同类证书不重复得分）。（须提供证书复印件及近半年社保缴纳证明），不提供不得分。</w:t>
            </w:r>
          </w:p>
        </w:tc>
      </w:tr>
    </w:tbl>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w:t>
      </w:r>
      <w:r>
        <w:rPr>
          <w:rFonts w:hint="eastAsia"/>
          <w:u w:val="single"/>
        </w:rPr>
        <w:t>服务</w:t>
      </w:r>
      <w:r>
        <w:rPr>
          <w:u w:val="single"/>
        </w:rPr>
        <w:t>，只面向中小企业或小型、微型企业采购。对于非专门面向中小企业的</w:t>
      </w:r>
      <w:r>
        <w:rPr>
          <w:rFonts w:hint="eastAsia"/>
          <w:u w:val="single"/>
        </w:rPr>
        <w:t>服务</w:t>
      </w:r>
      <w:r>
        <w:rPr>
          <w:u w:val="single"/>
        </w:rPr>
        <w:t>，对小型和微型企业的价格给予10%的扣除，用扣除后的价格参与评审。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w:t>
      </w:r>
      <w:r>
        <w:rPr>
          <w:rFonts w:hint="eastAsia"/>
          <w:u w:val="single"/>
        </w:rPr>
        <w:t>服务</w:t>
      </w:r>
      <w:r>
        <w:rPr>
          <w:u w:val="single"/>
        </w:rPr>
        <w:t>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w:t>
      </w:r>
      <w:r>
        <w:rPr>
          <w:rFonts w:hint="eastAsia"/>
          <w:u w:val="single"/>
        </w:rPr>
        <w:t>服务</w:t>
      </w:r>
      <w:r>
        <w:rPr>
          <w:u w:val="single"/>
        </w:rPr>
        <w:t>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pStyle w:val="9"/>
      </w:pPr>
      <w:r>
        <w:tab/>
      </w:r>
    </w:p>
    <w:p>
      <w:pPr>
        <w:widowControl/>
        <w:jc w:val="center"/>
        <w:rPr>
          <w:rFonts w:ascii="华文中宋" w:hAnsi="华文中宋" w:eastAsia="华文中宋"/>
          <w:sz w:val="32"/>
        </w:rPr>
      </w:pPr>
      <w:r>
        <w:rPr>
          <w:rFonts w:hint="eastAsia" w:ascii="华文中宋" w:hAnsi="华文中宋" w:eastAsia="华文中宋"/>
          <w:sz w:val="32"/>
        </w:rPr>
        <w:t>第三章    采购需求</w:t>
      </w:r>
    </w:p>
    <w:p>
      <w:pPr>
        <w:pStyle w:val="4"/>
        <w:spacing w:line="360" w:lineRule="auto"/>
        <w:rPr>
          <w:rFonts w:hint="eastAsia" w:ascii="仿宋" w:hAnsi="仿宋" w:eastAsia="仿宋" w:cs="宋体"/>
          <w:sz w:val="24"/>
          <w:szCs w:val="28"/>
        </w:rPr>
      </w:pPr>
      <w:r>
        <w:rPr>
          <w:rFonts w:hint="eastAsia" w:ascii="仿宋" w:hAnsi="仿宋" w:eastAsia="仿宋" w:cs="宋体"/>
          <w:sz w:val="24"/>
          <w:szCs w:val="28"/>
        </w:rPr>
        <w:t>一、服务目标</w:t>
      </w:r>
    </w:p>
    <w:p>
      <w:pPr>
        <w:widowControl/>
        <w:spacing w:line="360" w:lineRule="auto"/>
        <w:ind w:firstLine="480" w:firstLineChars="200"/>
        <w:jc w:val="left"/>
        <w:rPr>
          <w:rFonts w:hint="eastAsia" w:ascii="仿宋" w:hAnsi="仿宋" w:eastAsia="仿宋" w:cs="宋体"/>
          <w:sz w:val="24"/>
          <w:szCs w:val="28"/>
        </w:rPr>
      </w:pPr>
      <w:bookmarkStart w:id="31" w:name="_Toc70596388"/>
      <w:bookmarkStart w:id="32" w:name="_Toc70595629"/>
      <w:r>
        <w:rPr>
          <w:rFonts w:hint="eastAsia" w:ascii="仿宋" w:hAnsi="仿宋" w:eastAsia="仿宋" w:cs="宋体"/>
          <w:sz w:val="24"/>
          <w:szCs w:val="28"/>
        </w:rPr>
        <w:t>（1） 提高业务数据治理水平，由传统记录方式向无纸化转变，达到降低成本、提高效率的目的；</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（2）实现市区数据互联互通；引入先进的数据处理技术，建立符合和满足慢病业务数据处理管理规范；</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（3）规范统一各区上报的数据，形成规范性数据结构。</w:t>
      </w:r>
    </w:p>
    <w:bookmarkEnd w:id="31"/>
    <w:bookmarkEnd w:id="32"/>
    <w:p>
      <w:pPr>
        <w:pStyle w:val="4"/>
        <w:spacing w:line="360" w:lineRule="auto"/>
        <w:rPr>
          <w:rFonts w:hint="eastAsia" w:ascii="仿宋" w:hAnsi="仿宋" w:eastAsia="仿宋" w:cs="宋体"/>
          <w:sz w:val="24"/>
          <w:szCs w:val="28"/>
        </w:rPr>
      </w:pPr>
      <w:r>
        <w:rPr>
          <w:rFonts w:hint="eastAsia" w:ascii="仿宋" w:hAnsi="仿宋" w:eastAsia="仿宋" w:cs="宋体"/>
          <w:sz w:val="24"/>
          <w:szCs w:val="28"/>
        </w:rPr>
        <w:t>二、</w:t>
      </w:r>
      <w:bookmarkStart w:id="33" w:name="_Toc67153000"/>
      <w:r>
        <w:rPr>
          <w:rFonts w:hint="eastAsia" w:ascii="仿宋" w:hAnsi="仿宋" w:eastAsia="仿宋" w:cs="宋体"/>
          <w:sz w:val="24"/>
          <w:szCs w:val="28"/>
        </w:rPr>
        <w:t>服务内容</w:t>
      </w:r>
      <w:bookmarkEnd w:id="33"/>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慢病三高共管与双向转诊随访数据处理服务</w:t>
      </w:r>
    </w:p>
    <w:p>
      <w:pPr>
        <w:pStyle w:val="4"/>
        <w:spacing w:line="360" w:lineRule="auto"/>
        <w:rPr>
          <w:rFonts w:hint="eastAsia" w:ascii="仿宋" w:hAnsi="仿宋" w:eastAsia="仿宋" w:cs="宋体"/>
          <w:sz w:val="24"/>
          <w:szCs w:val="28"/>
        </w:rPr>
      </w:pPr>
      <w:r>
        <w:rPr>
          <w:rFonts w:hint="eastAsia" w:ascii="仿宋" w:hAnsi="仿宋" w:eastAsia="仿宋" w:cs="宋体"/>
          <w:sz w:val="24"/>
          <w:szCs w:val="28"/>
        </w:rPr>
        <w:t>三、服务范围及服务周期</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本次服务范围为：慢病三高共管与双向转诊随访数据处理服务</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服务周期：从合同签订到验收合格</w:t>
      </w:r>
    </w:p>
    <w:p>
      <w:pPr>
        <w:pStyle w:val="4"/>
        <w:spacing w:line="360" w:lineRule="auto"/>
        <w:rPr>
          <w:rFonts w:hint="eastAsia" w:ascii="仿宋" w:hAnsi="仿宋" w:eastAsia="仿宋" w:cs="宋体"/>
          <w:sz w:val="24"/>
          <w:szCs w:val="28"/>
        </w:rPr>
      </w:pPr>
      <w:r>
        <w:rPr>
          <w:rFonts w:hint="eastAsia" w:ascii="仿宋" w:hAnsi="仿宋" w:eastAsia="仿宋" w:cs="宋体"/>
          <w:sz w:val="24"/>
          <w:szCs w:val="28"/>
        </w:rPr>
        <w:t>四、服务要求</w:t>
      </w:r>
    </w:p>
    <w:tbl>
      <w:tblPr>
        <w:tblStyle w:val="22"/>
        <w:tblW w:w="9540"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435"/>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spacing w:line="360" w:lineRule="auto"/>
              <w:jc w:val="center"/>
              <w:rPr>
                <w:rFonts w:ascii="宋体" w:hAnsi="宋体"/>
                <w:b/>
                <w:bCs/>
                <w:sz w:val="24"/>
                <w:szCs w:val="24"/>
              </w:rPr>
            </w:pPr>
            <w:r>
              <w:rPr>
                <w:rFonts w:hint="eastAsia" w:ascii="宋体" w:hAnsi="宋体"/>
                <w:b/>
                <w:bCs/>
                <w:sz w:val="24"/>
                <w:szCs w:val="24"/>
              </w:rPr>
              <w:t>序号</w:t>
            </w:r>
          </w:p>
        </w:tc>
        <w:tc>
          <w:tcPr>
            <w:tcW w:w="3435" w:type="dxa"/>
            <w:vAlign w:val="center"/>
          </w:tcPr>
          <w:p>
            <w:pPr>
              <w:spacing w:line="360" w:lineRule="auto"/>
              <w:jc w:val="center"/>
              <w:rPr>
                <w:rFonts w:ascii="宋体" w:hAnsi="宋体"/>
                <w:b/>
                <w:bCs/>
                <w:sz w:val="24"/>
                <w:szCs w:val="24"/>
              </w:rPr>
            </w:pPr>
            <w:r>
              <w:rPr>
                <w:rFonts w:hint="eastAsia" w:ascii="宋体" w:hAnsi="宋体"/>
                <w:b/>
                <w:bCs/>
                <w:sz w:val="24"/>
                <w:szCs w:val="24"/>
              </w:rPr>
              <w:t>服务项</w:t>
            </w:r>
          </w:p>
        </w:tc>
        <w:tc>
          <w:tcPr>
            <w:tcW w:w="5100" w:type="dxa"/>
            <w:vAlign w:val="center"/>
          </w:tcPr>
          <w:p>
            <w:pPr>
              <w:spacing w:line="360" w:lineRule="auto"/>
              <w:jc w:val="center"/>
              <w:rPr>
                <w:rFonts w:ascii="宋体" w:hAnsi="宋体"/>
                <w:b/>
                <w:bCs/>
                <w:sz w:val="24"/>
                <w:szCs w:val="24"/>
              </w:rPr>
            </w:pPr>
            <w:r>
              <w:rPr>
                <w:rFonts w:hint="eastAsia" w:ascii="宋体" w:hAnsi="宋体"/>
                <w:b/>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1</w:t>
            </w:r>
          </w:p>
        </w:tc>
        <w:tc>
          <w:tcPr>
            <w:tcW w:w="3435" w:type="dxa"/>
            <w:vAlign w:val="center"/>
          </w:tcPr>
          <w:p>
            <w:pPr>
              <w:widowControl/>
              <w:spacing w:line="360" w:lineRule="auto"/>
              <w:jc w:val="left"/>
              <w:rPr>
                <w:rFonts w:hint="eastAsia" w:ascii="仿宋" w:hAnsi="仿宋" w:eastAsia="仿宋" w:cs="宋体"/>
                <w:sz w:val="24"/>
                <w:szCs w:val="28"/>
              </w:rPr>
            </w:pPr>
            <w:r>
              <w:rPr>
                <w:rFonts w:hint="eastAsia" w:ascii="仿宋" w:hAnsi="仿宋" w:eastAsia="仿宋" w:cs="宋体"/>
                <w:sz w:val="24"/>
                <w:szCs w:val="28"/>
              </w:rPr>
              <w:t>三高共管-高血压随访数据处理服务</w:t>
            </w:r>
          </w:p>
        </w:tc>
        <w:tc>
          <w:tcPr>
            <w:tcW w:w="5100" w:type="dxa"/>
          </w:tcPr>
          <w:p>
            <w:pPr>
              <w:widowControl/>
              <w:spacing w:line="360" w:lineRule="auto"/>
              <w:ind w:firstLine="480" w:firstLineChars="200"/>
              <w:jc w:val="both"/>
              <w:rPr>
                <w:rFonts w:hint="eastAsia" w:ascii="仿宋" w:hAnsi="仿宋" w:eastAsia="仿宋" w:cs="宋体"/>
                <w:sz w:val="24"/>
                <w:szCs w:val="28"/>
              </w:rPr>
            </w:pPr>
            <w:r>
              <w:rPr>
                <w:rFonts w:hint="eastAsia" w:ascii="仿宋" w:hAnsi="仿宋" w:eastAsia="仿宋" w:cs="宋体"/>
                <w:sz w:val="24"/>
                <w:szCs w:val="28"/>
              </w:rPr>
              <w:t>支持南京市各辖区，维护本区高血压患者随访数据，根据具体业务规则对患者数据做结构化处理，生成患者结构数据，展示高血压随访数据和随访历史记录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2</w:t>
            </w:r>
          </w:p>
        </w:tc>
        <w:tc>
          <w:tcPr>
            <w:tcW w:w="3435" w:type="dxa"/>
            <w:vAlign w:val="center"/>
          </w:tcPr>
          <w:p>
            <w:pPr>
              <w:widowControl/>
              <w:spacing w:line="360" w:lineRule="auto"/>
              <w:jc w:val="both"/>
              <w:rPr>
                <w:rFonts w:hint="eastAsia" w:ascii="仿宋" w:hAnsi="仿宋" w:eastAsia="仿宋" w:cs="宋体"/>
                <w:sz w:val="24"/>
                <w:szCs w:val="28"/>
              </w:rPr>
            </w:pPr>
            <w:r>
              <w:rPr>
                <w:rFonts w:hint="eastAsia" w:ascii="仿宋" w:hAnsi="仿宋" w:eastAsia="仿宋" w:cs="宋体"/>
                <w:sz w:val="24"/>
                <w:szCs w:val="28"/>
              </w:rPr>
              <w:t>三高共管-糖尿病随访数据处理服务</w:t>
            </w:r>
          </w:p>
        </w:tc>
        <w:tc>
          <w:tcPr>
            <w:tcW w:w="5100" w:type="dxa"/>
          </w:tcPr>
          <w:p>
            <w:pPr>
              <w:widowControl/>
              <w:spacing w:line="360" w:lineRule="auto"/>
              <w:ind w:firstLine="480" w:firstLineChars="200"/>
              <w:jc w:val="both"/>
              <w:rPr>
                <w:rFonts w:hint="eastAsia" w:ascii="仿宋" w:hAnsi="仿宋" w:eastAsia="仿宋" w:cs="宋体"/>
                <w:sz w:val="24"/>
                <w:szCs w:val="28"/>
              </w:rPr>
            </w:pPr>
            <w:r>
              <w:rPr>
                <w:rFonts w:hint="eastAsia" w:ascii="仿宋" w:hAnsi="仿宋" w:eastAsia="仿宋" w:cs="宋体"/>
                <w:sz w:val="24"/>
                <w:szCs w:val="28"/>
              </w:rPr>
              <w:t>支持南京市各辖区，维护本区糖尿病患者随访数据，根据具体业务规则对患者数据做结构化处理，生成患者结构数据，展示糖尿病随访数据和随访历史记录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w:t>
            </w:r>
          </w:p>
        </w:tc>
        <w:tc>
          <w:tcPr>
            <w:tcW w:w="3435" w:type="dxa"/>
            <w:vAlign w:val="center"/>
          </w:tcPr>
          <w:p>
            <w:pPr>
              <w:widowControl/>
              <w:spacing w:line="360" w:lineRule="auto"/>
              <w:jc w:val="both"/>
              <w:rPr>
                <w:rFonts w:hint="eastAsia" w:ascii="仿宋" w:hAnsi="仿宋" w:eastAsia="仿宋" w:cs="宋体"/>
                <w:sz w:val="24"/>
                <w:szCs w:val="28"/>
              </w:rPr>
            </w:pPr>
            <w:r>
              <w:rPr>
                <w:rFonts w:hint="eastAsia" w:ascii="仿宋" w:hAnsi="仿宋" w:eastAsia="仿宋" w:cs="宋体"/>
                <w:sz w:val="24"/>
                <w:szCs w:val="28"/>
              </w:rPr>
              <w:t>双向转诊数据处理服务</w:t>
            </w:r>
          </w:p>
        </w:tc>
        <w:tc>
          <w:tcPr>
            <w:tcW w:w="5100" w:type="dxa"/>
          </w:tcPr>
          <w:p>
            <w:pPr>
              <w:widowControl/>
              <w:spacing w:line="360" w:lineRule="auto"/>
              <w:ind w:firstLine="480" w:firstLineChars="200"/>
              <w:jc w:val="both"/>
              <w:rPr>
                <w:rFonts w:hint="eastAsia" w:ascii="仿宋" w:hAnsi="仿宋" w:eastAsia="仿宋" w:cs="宋体"/>
                <w:sz w:val="24"/>
                <w:szCs w:val="28"/>
              </w:rPr>
            </w:pPr>
            <w:r>
              <w:rPr>
                <w:rFonts w:hint="eastAsia" w:ascii="仿宋" w:hAnsi="仿宋" w:eastAsia="仿宋" w:cs="宋体"/>
                <w:sz w:val="24"/>
                <w:szCs w:val="28"/>
              </w:rPr>
              <w:t>支持南京市各辖区，维护本区双向转诊患者随访数据，根据具体业务规则对患者数据做结构化处理，生成患者结构数据，展示转诊数据和历史记录</w:t>
            </w:r>
          </w:p>
        </w:tc>
      </w:tr>
    </w:tbl>
    <w:p>
      <w:pPr>
        <w:pStyle w:val="9"/>
        <w:rPr>
          <w:rFonts w:cs="宋体" w:asciiTheme="majorEastAsia" w:hAnsiTheme="majorEastAsia" w:eastAsiaTheme="majorEastAsia"/>
          <w:kern w:val="0"/>
          <w:sz w:val="24"/>
          <w:szCs w:val="24"/>
          <w:lang w:bidi="ar"/>
        </w:rPr>
      </w:pPr>
    </w:p>
    <w:p>
      <w:pPr>
        <w:pStyle w:val="4"/>
        <w:spacing w:line="360" w:lineRule="auto"/>
        <w:rPr>
          <w:rFonts w:ascii="仿宋" w:hAnsi="仿宋" w:eastAsia="仿宋" w:cs="宋体"/>
          <w:b w:val="0"/>
          <w:bCs w:val="0"/>
          <w:sz w:val="24"/>
          <w:szCs w:val="28"/>
        </w:rPr>
      </w:pPr>
      <w:r>
        <w:rPr>
          <w:rFonts w:hint="eastAsia" w:ascii="仿宋" w:hAnsi="仿宋" w:eastAsia="仿宋" w:cs="宋体"/>
          <w:sz w:val="24"/>
          <w:szCs w:val="28"/>
        </w:rPr>
        <w:t>五、服务实施保密要求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（1）成交供应商加强内部保密和数据安全管理，因中标人造成的数据泄密、网络与数据安全问题，由中标人承担所有责任。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数据进行严格保密，未经授权不得泄露给任何单位和个人，不得利用此数据进行任何侵害本服务涉及和相关的任何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服务成员与采购人的保密协议草拟本。中标后，中标人参与本服务的人员，必须与采购人签订保密协议，约束服务成员的保密义务，并严格控制本服务的数据扩散范围只在该小组成员为了完成监理服务工作所必需知道的最少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（5）中标人在本服务中所获取的相关数据和产生的报告，必须提供给采购人指定人员，不得随意扩散。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pStyle w:val="4"/>
        <w:spacing w:line="360" w:lineRule="auto"/>
        <w:rPr>
          <w:rFonts w:ascii="仿宋" w:hAnsi="仿宋" w:eastAsia="仿宋" w:cs="宋体"/>
          <w:b w:val="0"/>
          <w:bCs w:val="0"/>
          <w:sz w:val="24"/>
          <w:szCs w:val="28"/>
        </w:rPr>
      </w:pPr>
      <w:r>
        <w:rPr>
          <w:rFonts w:hint="eastAsia" w:ascii="仿宋" w:hAnsi="仿宋" w:eastAsia="仿宋" w:cs="宋体"/>
          <w:sz w:val="24"/>
          <w:szCs w:val="28"/>
        </w:rPr>
        <w:t>六、付款条件</w:t>
      </w:r>
    </w:p>
    <w:p>
      <w:pPr>
        <w:widowControl/>
        <w:spacing w:line="360" w:lineRule="auto"/>
        <w:ind w:firstLine="480" w:firstLineChars="200"/>
        <w:jc w:val="left"/>
        <w:rPr>
          <w:highlight w:val="none"/>
        </w:rPr>
      </w:pPr>
      <w:r>
        <w:rPr>
          <w:rFonts w:hint="eastAsia" w:ascii="仿宋" w:hAnsi="仿宋" w:eastAsia="仿宋" w:cs="宋体"/>
          <w:sz w:val="24"/>
          <w:szCs w:val="28"/>
          <w:highlight w:val="none"/>
        </w:rPr>
        <w:t>付款方式：合同签订后</w:t>
      </w:r>
      <w:r>
        <w:rPr>
          <w:rFonts w:ascii="仿宋" w:hAnsi="仿宋" w:eastAsia="仿宋" w:cs="宋体"/>
          <w:sz w:val="24"/>
          <w:szCs w:val="28"/>
          <w:highlight w:val="none"/>
        </w:rPr>
        <w:t>30</w:t>
      </w:r>
      <w:r>
        <w:rPr>
          <w:rFonts w:hint="eastAsia" w:ascii="仿宋" w:hAnsi="仿宋" w:eastAsia="仿宋" w:cs="宋体"/>
          <w:sz w:val="24"/>
          <w:szCs w:val="28"/>
          <w:highlight w:val="none"/>
        </w:rPr>
        <w:t>日内采购人支付合同款的</w:t>
      </w:r>
      <w:r>
        <w:rPr>
          <w:rFonts w:ascii="仿宋" w:hAnsi="仿宋" w:eastAsia="仿宋" w:cs="宋体"/>
          <w:sz w:val="24"/>
          <w:szCs w:val="28"/>
          <w:highlight w:val="none"/>
        </w:rPr>
        <w:t>5</w:t>
      </w:r>
      <w:r>
        <w:rPr>
          <w:rFonts w:hint="eastAsia" w:ascii="仿宋" w:hAnsi="仿宋" w:eastAsia="仿宋" w:cs="宋体"/>
          <w:sz w:val="24"/>
          <w:szCs w:val="28"/>
          <w:highlight w:val="none"/>
        </w:rPr>
        <w:t>0%，验收合格后</w:t>
      </w:r>
      <w:r>
        <w:rPr>
          <w:rFonts w:ascii="仿宋" w:hAnsi="仿宋" w:eastAsia="仿宋" w:cs="宋体"/>
          <w:sz w:val="24"/>
          <w:szCs w:val="28"/>
          <w:highlight w:val="none"/>
        </w:rPr>
        <w:t>30</w:t>
      </w:r>
      <w:r>
        <w:rPr>
          <w:rFonts w:hint="eastAsia" w:ascii="仿宋" w:hAnsi="仿宋" w:eastAsia="仿宋" w:cs="宋体"/>
          <w:sz w:val="24"/>
          <w:szCs w:val="28"/>
          <w:highlight w:val="none"/>
        </w:rPr>
        <w:t>日内采购人支付合同款的</w:t>
      </w:r>
      <w:r>
        <w:rPr>
          <w:rFonts w:ascii="仿宋" w:hAnsi="仿宋" w:eastAsia="仿宋" w:cs="宋体"/>
          <w:sz w:val="24"/>
          <w:szCs w:val="28"/>
          <w:highlight w:val="none"/>
        </w:rPr>
        <w:t>5</w:t>
      </w:r>
      <w:r>
        <w:rPr>
          <w:rFonts w:hint="eastAsia" w:ascii="仿宋" w:hAnsi="仿宋" w:eastAsia="仿宋" w:cs="宋体"/>
          <w:sz w:val="24"/>
          <w:szCs w:val="28"/>
          <w:highlight w:val="none"/>
        </w:rPr>
        <w:t>0%。</w:t>
      </w:r>
    </w:p>
    <w:p>
      <w:pPr>
        <w:widowControl/>
        <w:spacing w:line="360" w:lineRule="auto"/>
        <w:ind w:firstLine="480" w:firstLineChars="200"/>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货物名称</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规格</w:t>
            </w:r>
          </w:p>
        </w:tc>
        <w:tc>
          <w:tcPr>
            <w:tcW w:w="1420"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品牌</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报价</w:t>
            </w:r>
          </w:p>
        </w:tc>
        <w:tc>
          <w:tcPr>
            <w:tcW w:w="1421" w:type="dxa"/>
            <w:tcBorders>
              <w:bottom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r>
              <w:rPr>
                <w:rFonts w:hint="eastAsia" w:ascii="宋体" w:hAnsi="宋体" w:cs="宋体"/>
                <w:color w:val="000000"/>
                <w:kern w:val="0"/>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rPr>
            </w:pPr>
          </w:p>
        </w:tc>
      </w:tr>
    </w:tbl>
    <w:p>
      <w:pPr>
        <w:widowControl/>
        <w:jc w:val="left"/>
      </w:pPr>
      <w:r>
        <w:t>根据采购需求添加</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供应商应针对本采购需求特点，自行编制包含但不限于以下内容的实施方案：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实施的总体方案、技术服务实施方案、质量保障方案、进度计划安排、验收方案、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2E3C"/>
    <w:rsid w:val="000260F8"/>
    <w:rsid w:val="000312DE"/>
    <w:rsid w:val="000440C8"/>
    <w:rsid w:val="000474D5"/>
    <w:rsid w:val="00047A46"/>
    <w:rsid w:val="00055A7A"/>
    <w:rsid w:val="0005737B"/>
    <w:rsid w:val="00057D99"/>
    <w:rsid w:val="00066BAC"/>
    <w:rsid w:val="000726D8"/>
    <w:rsid w:val="00087F17"/>
    <w:rsid w:val="00091885"/>
    <w:rsid w:val="000A1467"/>
    <w:rsid w:val="000A2DFF"/>
    <w:rsid w:val="000A6769"/>
    <w:rsid w:val="000A7235"/>
    <w:rsid w:val="000D0EAA"/>
    <w:rsid w:val="000D3B95"/>
    <w:rsid w:val="000D5040"/>
    <w:rsid w:val="000D6508"/>
    <w:rsid w:val="000E205D"/>
    <w:rsid w:val="000E3A2C"/>
    <w:rsid w:val="000F2EDE"/>
    <w:rsid w:val="000F53EA"/>
    <w:rsid w:val="00110BD8"/>
    <w:rsid w:val="00114961"/>
    <w:rsid w:val="00137C62"/>
    <w:rsid w:val="00151C8B"/>
    <w:rsid w:val="00160825"/>
    <w:rsid w:val="0018016E"/>
    <w:rsid w:val="001845C2"/>
    <w:rsid w:val="00187965"/>
    <w:rsid w:val="00192356"/>
    <w:rsid w:val="00195F74"/>
    <w:rsid w:val="001A0BD6"/>
    <w:rsid w:val="001A2B0F"/>
    <w:rsid w:val="001A53F6"/>
    <w:rsid w:val="001B2575"/>
    <w:rsid w:val="001C6D03"/>
    <w:rsid w:val="002113E8"/>
    <w:rsid w:val="00221606"/>
    <w:rsid w:val="00235648"/>
    <w:rsid w:val="002364BA"/>
    <w:rsid w:val="00244094"/>
    <w:rsid w:val="0024564F"/>
    <w:rsid w:val="00245838"/>
    <w:rsid w:val="00246690"/>
    <w:rsid w:val="00247385"/>
    <w:rsid w:val="002519EB"/>
    <w:rsid w:val="00272AB0"/>
    <w:rsid w:val="00274F1F"/>
    <w:rsid w:val="002768D3"/>
    <w:rsid w:val="0028478E"/>
    <w:rsid w:val="002A5F90"/>
    <w:rsid w:val="002A6A32"/>
    <w:rsid w:val="002C1C68"/>
    <w:rsid w:val="002C22A1"/>
    <w:rsid w:val="002C4775"/>
    <w:rsid w:val="002D1C88"/>
    <w:rsid w:val="002F4172"/>
    <w:rsid w:val="003015F8"/>
    <w:rsid w:val="00301B3F"/>
    <w:rsid w:val="00307567"/>
    <w:rsid w:val="00317BDE"/>
    <w:rsid w:val="00317E41"/>
    <w:rsid w:val="0032198F"/>
    <w:rsid w:val="00322E12"/>
    <w:rsid w:val="003230A8"/>
    <w:rsid w:val="00341C12"/>
    <w:rsid w:val="003552BF"/>
    <w:rsid w:val="0035704E"/>
    <w:rsid w:val="00357281"/>
    <w:rsid w:val="003643BE"/>
    <w:rsid w:val="0037220D"/>
    <w:rsid w:val="003767BB"/>
    <w:rsid w:val="0038670E"/>
    <w:rsid w:val="003A3370"/>
    <w:rsid w:val="003A4E51"/>
    <w:rsid w:val="003B4444"/>
    <w:rsid w:val="003C17EE"/>
    <w:rsid w:val="003C2A73"/>
    <w:rsid w:val="003D04C7"/>
    <w:rsid w:val="003D07F4"/>
    <w:rsid w:val="003D3453"/>
    <w:rsid w:val="003D5771"/>
    <w:rsid w:val="003F5E6B"/>
    <w:rsid w:val="0040170C"/>
    <w:rsid w:val="00403ACC"/>
    <w:rsid w:val="00430D5D"/>
    <w:rsid w:val="0043420C"/>
    <w:rsid w:val="00441096"/>
    <w:rsid w:val="00445621"/>
    <w:rsid w:val="004558B8"/>
    <w:rsid w:val="00461A98"/>
    <w:rsid w:val="004629DB"/>
    <w:rsid w:val="00472A55"/>
    <w:rsid w:val="00475748"/>
    <w:rsid w:val="0048056F"/>
    <w:rsid w:val="004852F6"/>
    <w:rsid w:val="0049327D"/>
    <w:rsid w:val="004B0417"/>
    <w:rsid w:val="004B7F6F"/>
    <w:rsid w:val="004C0BDF"/>
    <w:rsid w:val="004C502C"/>
    <w:rsid w:val="004C5297"/>
    <w:rsid w:val="004D1EEE"/>
    <w:rsid w:val="004D6B10"/>
    <w:rsid w:val="004E58AB"/>
    <w:rsid w:val="004F0CA3"/>
    <w:rsid w:val="004F24AE"/>
    <w:rsid w:val="004F2A1E"/>
    <w:rsid w:val="004F449A"/>
    <w:rsid w:val="004F66CE"/>
    <w:rsid w:val="00507221"/>
    <w:rsid w:val="00510591"/>
    <w:rsid w:val="0051643B"/>
    <w:rsid w:val="005261F1"/>
    <w:rsid w:val="00534F4E"/>
    <w:rsid w:val="00537BF8"/>
    <w:rsid w:val="00552395"/>
    <w:rsid w:val="00556FCF"/>
    <w:rsid w:val="00561CFB"/>
    <w:rsid w:val="00581584"/>
    <w:rsid w:val="00581E7B"/>
    <w:rsid w:val="005902A4"/>
    <w:rsid w:val="00591415"/>
    <w:rsid w:val="00595204"/>
    <w:rsid w:val="005A5639"/>
    <w:rsid w:val="005B0D44"/>
    <w:rsid w:val="005B5C3A"/>
    <w:rsid w:val="005C722E"/>
    <w:rsid w:val="005E5A75"/>
    <w:rsid w:val="005F0170"/>
    <w:rsid w:val="0062399F"/>
    <w:rsid w:val="006503E0"/>
    <w:rsid w:val="00650F4B"/>
    <w:rsid w:val="00680993"/>
    <w:rsid w:val="00685C71"/>
    <w:rsid w:val="00686C3A"/>
    <w:rsid w:val="006939FC"/>
    <w:rsid w:val="00696EDD"/>
    <w:rsid w:val="00696EFD"/>
    <w:rsid w:val="006A7F3B"/>
    <w:rsid w:val="006C7E8E"/>
    <w:rsid w:val="006D1B26"/>
    <w:rsid w:val="006E2250"/>
    <w:rsid w:val="00700252"/>
    <w:rsid w:val="00700F14"/>
    <w:rsid w:val="00705A27"/>
    <w:rsid w:val="007122E2"/>
    <w:rsid w:val="007160B3"/>
    <w:rsid w:val="007237B7"/>
    <w:rsid w:val="0072588C"/>
    <w:rsid w:val="007278B5"/>
    <w:rsid w:val="0073193D"/>
    <w:rsid w:val="0073253D"/>
    <w:rsid w:val="00754135"/>
    <w:rsid w:val="00795A0D"/>
    <w:rsid w:val="0079663A"/>
    <w:rsid w:val="007A722A"/>
    <w:rsid w:val="007B238E"/>
    <w:rsid w:val="007B3356"/>
    <w:rsid w:val="007D11F2"/>
    <w:rsid w:val="007D3904"/>
    <w:rsid w:val="007E2D83"/>
    <w:rsid w:val="007E582A"/>
    <w:rsid w:val="007E6E83"/>
    <w:rsid w:val="007E74CC"/>
    <w:rsid w:val="007F11AA"/>
    <w:rsid w:val="007F2513"/>
    <w:rsid w:val="00806E02"/>
    <w:rsid w:val="0080774A"/>
    <w:rsid w:val="00821CF7"/>
    <w:rsid w:val="008230C1"/>
    <w:rsid w:val="00823982"/>
    <w:rsid w:val="008257DE"/>
    <w:rsid w:val="00834022"/>
    <w:rsid w:val="00834419"/>
    <w:rsid w:val="008345DA"/>
    <w:rsid w:val="00836A14"/>
    <w:rsid w:val="00836EEE"/>
    <w:rsid w:val="00852A78"/>
    <w:rsid w:val="00852D40"/>
    <w:rsid w:val="00853C9F"/>
    <w:rsid w:val="00865510"/>
    <w:rsid w:val="008724D7"/>
    <w:rsid w:val="00877C6E"/>
    <w:rsid w:val="00881927"/>
    <w:rsid w:val="00893FC7"/>
    <w:rsid w:val="008974EE"/>
    <w:rsid w:val="008A0810"/>
    <w:rsid w:val="008A1192"/>
    <w:rsid w:val="008A2FE7"/>
    <w:rsid w:val="008B0D7D"/>
    <w:rsid w:val="008B615F"/>
    <w:rsid w:val="008B79A7"/>
    <w:rsid w:val="008C04F9"/>
    <w:rsid w:val="008C253A"/>
    <w:rsid w:val="008C7775"/>
    <w:rsid w:val="008D3DF7"/>
    <w:rsid w:val="008E2857"/>
    <w:rsid w:val="008F47D6"/>
    <w:rsid w:val="008F496A"/>
    <w:rsid w:val="00900E9B"/>
    <w:rsid w:val="0090581E"/>
    <w:rsid w:val="00911476"/>
    <w:rsid w:val="00912B3B"/>
    <w:rsid w:val="00914690"/>
    <w:rsid w:val="00915D45"/>
    <w:rsid w:val="00915E66"/>
    <w:rsid w:val="009208B2"/>
    <w:rsid w:val="00926B4D"/>
    <w:rsid w:val="009351DC"/>
    <w:rsid w:val="00944793"/>
    <w:rsid w:val="00956CE8"/>
    <w:rsid w:val="00957BE4"/>
    <w:rsid w:val="00966F02"/>
    <w:rsid w:val="00970276"/>
    <w:rsid w:val="00970BC5"/>
    <w:rsid w:val="009843DE"/>
    <w:rsid w:val="009918AE"/>
    <w:rsid w:val="0099209D"/>
    <w:rsid w:val="00996273"/>
    <w:rsid w:val="009A15C7"/>
    <w:rsid w:val="009A6DE6"/>
    <w:rsid w:val="009B2D06"/>
    <w:rsid w:val="009D5DC0"/>
    <w:rsid w:val="009E4F65"/>
    <w:rsid w:val="009E751E"/>
    <w:rsid w:val="009F3370"/>
    <w:rsid w:val="009F62D6"/>
    <w:rsid w:val="00A01BAB"/>
    <w:rsid w:val="00A03942"/>
    <w:rsid w:val="00A12D77"/>
    <w:rsid w:val="00A30A33"/>
    <w:rsid w:val="00A30F31"/>
    <w:rsid w:val="00A3374C"/>
    <w:rsid w:val="00A34219"/>
    <w:rsid w:val="00A35CB3"/>
    <w:rsid w:val="00A43A53"/>
    <w:rsid w:val="00A46CA5"/>
    <w:rsid w:val="00A471E2"/>
    <w:rsid w:val="00A5081F"/>
    <w:rsid w:val="00A56E9C"/>
    <w:rsid w:val="00A72FAB"/>
    <w:rsid w:val="00A84F93"/>
    <w:rsid w:val="00AB5995"/>
    <w:rsid w:val="00AD503F"/>
    <w:rsid w:val="00AE3F21"/>
    <w:rsid w:val="00AF08FF"/>
    <w:rsid w:val="00B0316A"/>
    <w:rsid w:val="00B04AEB"/>
    <w:rsid w:val="00B106F7"/>
    <w:rsid w:val="00B26B36"/>
    <w:rsid w:val="00B4509D"/>
    <w:rsid w:val="00B5406F"/>
    <w:rsid w:val="00B61C9D"/>
    <w:rsid w:val="00B66227"/>
    <w:rsid w:val="00B669BB"/>
    <w:rsid w:val="00B679CD"/>
    <w:rsid w:val="00B7356C"/>
    <w:rsid w:val="00B93FDB"/>
    <w:rsid w:val="00BA124D"/>
    <w:rsid w:val="00BA59DB"/>
    <w:rsid w:val="00BB003F"/>
    <w:rsid w:val="00BB21A0"/>
    <w:rsid w:val="00BC2E33"/>
    <w:rsid w:val="00BD53ED"/>
    <w:rsid w:val="00BE04DE"/>
    <w:rsid w:val="00BF01EC"/>
    <w:rsid w:val="00BF5482"/>
    <w:rsid w:val="00BF7400"/>
    <w:rsid w:val="00C057E8"/>
    <w:rsid w:val="00C1604B"/>
    <w:rsid w:val="00C17AEE"/>
    <w:rsid w:val="00C17C51"/>
    <w:rsid w:val="00C37A88"/>
    <w:rsid w:val="00C456E5"/>
    <w:rsid w:val="00C46695"/>
    <w:rsid w:val="00C47032"/>
    <w:rsid w:val="00C47D7F"/>
    <w:rsid w:val="00C52F06"/>
    <w:rsid w:val="00C57424"/>
    <w:rsid w:val="00C600E9"/>
    <w:rsid w:val="00C61BBE"/>
    <w:rsid w:val="00C8778B"/>
    <w:rsid w:val="00C93A62"/>
    <w:rsid w:val="00C95981"/>
    <w:rsid w:val="00C95B1E"/>
    <w:rsid w:val="00CB52BE"/>
    <w:rsid w:val="00CC360C"/>
    <w:rsid w:val="00CD66C8"/>
    <w:rsid w:val="00CD796D"/>
    <w:rsid w:val="00CE54C3"/>
    <w:rsid w:val="00CE5A81"/>
    <w:rsid w:val="00CF23B0"/>
    <w:rsid w:val="00D04376"/>
    <w:rsid w:val="00D105A7"/>
    <w:rsid w:val="00D135F0"/>
    <w:rsid w:val="00D222C0"/>
    <w:rsid w:val="00D26832"/>
    <w:rsid w:val="00D33855"/>
    <w:rsid w:val="00D42734"/>
    <w:rsid w:val="00D44A97"/>
    <w:rsid w:val="00D5148B"/>
    <w:rsid w:val="00D55134"/>
    <w:rsid w:val="00D56A02"/>
    <w:rsid w:val="00D60E12"/>
    <w:rsid w:val="00D6387B"/>
    <w:rsid w:val="00D743FA"/>
    <w:rsid w:val="00D77D94"/>
    <w:rsid w:val="00D91F5B"/>
    <w:rsid w:val="00D945F3"/>
    <w:rsid w:val="00DA544D"/>
    <w:rsid w:val="00DA7067"/>
    <w:rsid w:val="00DB2D5F"/>
    <w:rsid w:val="00DC09FA"/>
    <w:rsid w:val="00E0544F"/>
    <w:rsid w:val="00E15F46"/>
    <w:rsid w:val="00E3268E"/>
    <w:rsid w:val="00E4150E"/>
    <w:rsid w:val="00E43622"/>
    <w:rsid w:val="00E44CBB"/>
    <w:rsid w:val="00E457B7"/>
    <w:rsid w:val="00E4799F"/>
    <w:rsid w:val="00E5157F"/>
    <w:rsid w:val="00E54783"/>
    <w:rsid w:val="00E60525"/>
    <w:rsid w:val="00E702D6"/>
    <w:rsid w:val="00E71027"/>
    <w:rsid w:val="00E714A9"/>
    <w:rsid w:val="00E73091"/>
    <w:rsid w:val="00E75E92"/>
    <w:rsid w:val="00E770C5"/>
    <w:rsid w:val="00E820FF"/>
    <w:rsid w:val="00E96257"/>
    <w:rsid w:val="00E97A15"/>
    <w:rsid w:val="00EA11D1"/>
    <w:rsid w:val="00EA1C38"/>
    <w:rsid w:val="00EC20FB"/>
    <w:rsid w:val="00EC3B1A"/>
    <w:rsid w:val="00EC742A"/>
    <w:rsid w:val="00ED557F"/>
    <w:rsid w:val="00ED7C2A"/>
    <w:rsid w:val="00EE1588"/>
    <w:rsid w:val="00EE3266"/>
    <w:rsid w:val="00EE3405"/>
    <w:rsid w:val="00EE63E3"/>
    <w:rsid w:val="00EE7910"/>
    <w:rsid w:val="00EF1B88"/>
    <w:rsid w:val="00EF578D"/>
    <w:rsid w:val="00F02354"/>
    <w:rsid w:val="00F055AE"/>
    <w:rsid w:val="00F124B3"/>
    <w:rsid w:val="00F3480E"/>
    <w:rsid w:val="00F37414"/>
    <w:rsid w:val="00F423A8"/>
    <w:rsid w:val="00F45960"/>
    <w:rsid w:val="00F46B02"/>
    <w:rsid w:val="00F53A4B"/>
    <w:rsid w:val="00F64E0C"/>
    <w:rsid w:val="00F762A5"/>
    <w:rsid w:val="00F7754D"/>
    <w:rsid w:val="00F95DDD"/>
    <w:rsid w:val="00FA4CAA"/>
    <w:rsid w:val="00FA7177"/>
    <w:rsid w:val="00FB6FDE"/>
    <w:rsid w:val="00FE232D"/>
    <w:rsid w:val="00FE2832"/>
    <w:rsid w:val="00FE7B80"/>
    <w:rsid w:val="066A3FC1"/>
    <w:rsid w:val="06F17ADA"/>
    <w:rsid w:val="07AC7358"/>
    <w:rsid w:val="07F15700"/>
    <w:rsid w:val="07F742BB"/>
    <w:rsid w:val="0A0921A0"/>
    <w:rsid w:val="0F0D1B32"/>
    <w:rsid w:val="14EA72A0"/>
    <w:rsid w:val="161A3BAF"/>
    <w:rsid w:val="17E30238"/>
    <w:rsid w:val="196D4B78"/>
    <w:rsid w:val="19F60323"/>
    <w:rsid w:val="1C4A5E6A"/>
    <w:rsid w:val="1D942DAA"/>
    <w:rsid w:val="1E20009A"/>
    <w:rsid w:val="1FE1523F"/>
    <w:rsid w:val="200A3A07"/>
    <w:rsid w:val="217A4BBD"/>
    <w:rsid w:val="217C6D52"/>
    <w:rsid w:val="25346D88"/>
    <w:rsid w:val="26AE115F"/>
    <w:rsid w:val="2748239B"/>
    <w:rsid w:val="2AD450BA"/>
    <w:rsid w:val="2FF64619"/>
    <w:rsid w:val="354457B6"/>
    <w:rsid w:val="39BFBEB0"/>
    <w:rsid w:val="39F72585"/>
    <w:rsid w:val="3A5F274A"/>
    <w:rsid w:val="3FD994FC"/>
    <w:rsid w:val="43916C8F"/>
    <w:rsid w:val="445D50E7"/>
    <w:rsid w:val="46EF6D38"/>
    <w:rsid w:val="47D5195D"/>
    <w:rsid w:val="492D7B43"/>
    <w:rsid w:val="4FFF5A31"/>
    <w:rsid w:val="50D128FB"/>
    <w:rsid w:val="51842EFD"/>
    <w:rsid w:val="528B22BC"/>
    <w:rsid w:val="54CA015C"/>
    <w:rsid w:val="5770773F"/>
    <w:rsid w:val="584530CD"/>
    <w:rsid w:val="588C16BF"/>
    <w:rsid w:val="59815DE1"/>
    <w:rsid w:val="59D81B5C"/>
    <w:rsid w:val="5BB74ED6"/>
    <w:rsid w:val="5C6C712F"/>
    <w:rsid w:val="5DC51DE0"/>
    <w:rsid w:val="5E4B7185"/>
    <w:rsid w:val="5FEAEC69"/>
    <w:rsid w:val="63D22953"/>
    <w:rsid w:val="6A5D9906"/>
    <w:rsid w:val="6B8A6D77"/>
    <w:rsid w:val="6FF7760D"/>
    <w:rsid w:val="72623CBE"/>
    <w:rsid w:val="72FF06FF"/>
    <w:rsid w:val="73223D39"/>
    <w:rsid w:val="75FD24C5"/>
    <w:rsid w:val="761B064C"/>
    <w:rsid w:val="768A6D36"/>
    <w:rsid w:val="76F16B6A"/>
    <w:rsid w:val="7AED903C"/>
    <w:rsid w:val="7CF5DAB8"/>
    <w:rsid w:val="7DBD2FDC"/>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3"/>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46">
    <w:name w:val="Revision"/>
    <w:hidden/>
    <w:semiHidden/>
    <w:uiPriority w:val="99"/>
    <w:rPr>
      <w:rFonts w:ascii="Times New Roman" w:hAnsi="Times New Roman" w:eastAsia="宋体" w:cs="Times New Roman"/>
      <w:kern w:val="2"/>
      <w:sz w:val="21"/>
      <w:szCs w:val="21"/>
      <w:lang w:val="en-US" w:eastAsia="zh-CN" w:bidi="ar-SA"/>
    </w:rPr>
  </w:style>
  <w:style w:type="paragraph" w:styleId="4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5847</Words>
  <Characters>5967</Characters>
  <Lines>48</Lines>
  <Paragraphs>13</Paragraphs>
  <TotalTime>1</TotalTime>
  <ScaleCrop>false</ScaleCrop>
  <LinksUpToDate>false</LinksUpToDate>
  <CharactersWithSpaces>6342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2023-07-31T09:17:00Z</dcterms:created>
  <dc:creator>赵璧</dc:creator>
  <cp:lastModifiedBy>汪娜</cp:lastModifiedBy>
  <cp:lastPrinted>2023-08-22T03:12:00Z</cp:lastPrinted>
  <dcterms:modified xsi:type="dcterms:W3CDTF">2023-08-28T00:32:59Z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E92EB62954BD48C3ADABDB85C63F235B</vt:lpwstr>
  </property>
</Properties>
</file>