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南京市疾控预防控制中心采样器</w:t>
      </w:r>
    </w:p>
    <w:p>
      <w:pPr>
        <w:widowControl/>
        <w:tabs>
          <w:tab w:val="left" w:pos="720"/>
        </w:tabs>
        <w:adjustRightInd w:val="0"/>
        <w:snapToGrid w:val="0"/>
        <w:spacing w:line="400" w:lineRule="exact"/>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采购公告</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ascii="仿宋" w:hAnsi="仿宋" w:eastAsia="仿宋"/>
          <w:sz w:val="24"/>
          <w:szCs w:val="28"/>
        </w:rPr>
      </w:pPr>
      <w:r>
        <w:rPr>
          <w:rFonts w:hint="eastAsia" w:ascii="仿宋" w:hAnsi="仿宋" w:eastAsia="仿宋"/>
          <w:sz w:val="24"/>
          <w:szCs w:val="28"/>
        </w:rPr>
        <w:t>南京市疾病预防控制中心就采样器开展招标，本项目以符合要求，通过综合评定方法确认，详见评分标准附表。欢迎符合资格条件的供应商参加。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采样器招标的潜在投标人应在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2023</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4</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19</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日9点3</w:t>
      </w:r>
      <w:r>
        <w:rPr>
          <w:rFonts w:ascii="仿宋" w:hAnsi="仿宋" w:eastAsia="仿宋"/>
          <w:bCs/>
          <w:color w:val="000000"/>
          <w:sz w:val="24"/>
          <w:szCs w:val="28"/>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ascii="黑体" w:hAnsi="黑体" w:cs="宋体"/>
          <w:b w:val="0"/>
          <w:color w:val="000000"/>
          <w:sz w:val="24"/>
          <w:szCs w:val="28"/>
        </w:rPr>
      </w:pPr>
      <w:bookmarkStart w:id="2" w:name="_Toc35393621"/>
      <w:bookmarkStart w:id="3" w:name="_Toc28359079"/>
      <w:bookmarkStart w:id="4" w:name="_Toc28359002"/>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ascii="仿宋" w:hAnsi="仿宋" w:eastAsia="仿宋"/>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心采样器</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w:t>
      </w:r>
    </w:p>
    <w:tbl>
      <w:tblPr>
        <w:tblStyle w:val="13"/>
        <w:tblW w:w="4772" w:type="pc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619"/>
        <w:gridCol w:w="1214"/>
        <w:gridCol w:w="1319"/>
        <w:gridCol w:w="123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序号</w:t>
            </w:r>
          </w:p>
        </w:tc>
        <w:tc>
          <w:tcPr>
            <w:tcW w:w="1392" w:type="pct"/>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产品名称</w:t>
            </w:r>
          </w:p>
        </w:tc>
        <w:tc>
          <w:tcPr>
            <w:tcW w:w="645"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数量</w:t>
            </w:r>
          </w:p>
        </w:tc>
        <w:tc>
          <w:tcPr>
            <w:tcW w:w="70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预算单价</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预算总价</w:t>
            </w:r>
          </w:p>
        </w:tc>
        <w:tc>
          <w:tcPr>
            <w:tcW w:w="1194" w:type="pct"/>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1</w:t>
            </w:r>
          </w:p>
        </w:tc>
        <w:tc>
          <w:tcPr>
            <w:tcW w:w="1392"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六级筛孔微生物采样器</w:t>
            </w:r>
          </w:p>
        </w:tc>
        <w:tc>
          <w:tcPr>
            <w:tcW w:w="645" w:type="pct"/>
            <w:vAlign w:val="center"/>
          </w:tcPr>
          <w:p>
            <w:pPr>
              <w:spacing w:line="360" w:lineRule="auto"/>
              <w:ind w:firstLine="480" w:firstLineChars="200"/>
              <w:rPr>
                <w:rFonts w:ascii="仿宋" w:hAnsi="仿宋" w:eastAsia="仿宋"/>
                <w:sz w:val="24"/>
                <w:szCs w:val="28"/>
              </w:rPr>
            </w:pPr>
            <w:r>
              <w:rPr>
                <w:rFonts w:hint="eastAsia" w:ascii="仿宋" w:hAnsi="仿宋" w:eastAsia="仿宋"/>
                <w:sz w:val="24"/>
                <w:szCs w:val="28"/>
              </w:rPr>
              <w:t>6</w:t>
            </w:r>
          </w:p>
        </w:tc>
        <w:tc>
          <w:tcPr>
            <w:tcW w:w="70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7500元</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45000元</w:t>
            </w:r>
          </w:p>
        </w:tc>
        <w:tc>
          <w:tcPr>
            <w:tcW w:w="1194"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不得超过预算单价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2</w:t>
            </w:r>
          </w:p>
        </w:tc>
        <w:tc>
          <w:tcPr>
            <w:tcW w:w="1392" w:type="pct"/>
            <w:vAlign w:val="center"/>
          </w:tcPr>
          <w:p>
            <w:pPr>
              <w:spacing w:line="360" w:lineRule="auto"/>
              <w:rPr>
                <w:rFonts w:ascii="仿宋" w:hAnsi="仿宋" w:eastAsia="仿宋"/>
                <w:sz w:val="24"/>
                <w:szCs w:val="28"/>
              </w:rPr>
            </w:pPr>
            <w:r>
              <w:rPr>
                <w:rFonts w:hint="eastAsia" w:ascii="仿宋" w:hAnsi="仿宋" w:eastAsia="仿宋"/>
                <w:sz w:val="24"/>
                <w:szCs w:val="28"/>
              </w:rPr>
              <w:t>个体空气采样器</w:t>
            </w:r>
          </w:p>
        </w:tc>
        <w:tc>
          <w:tcPr>
            <w:tcW w:w="645" w:type="pct"/>
            <w:vAlign w:val="center"/>
          </w:tcPr>
          <w:p>
            <w:pPr>
              <w:spacing w:line="360" w:lineRule="auto"/>
              <w:ind w:firstLine="480" w:firstLineChars="200"/>
              <w:rPr>
                <w:rFonts w:ascii="仿宋" w:hAnsi="仿宋" w:eastAsia="仿宋"/>
                <w:sz w:val="24"/>
                <w:szCs w:val="28"/>
              </w:rPr>
            </w:pPr>
            <w:r>
              <w:rPr>
                <w:rFonts w:hint="eastAsia" w:ascii="仿宋" w:hAnsi="仿宋" w:eastAsia="仿宋"/>
                <w:sz w:val="24"/>
                <w:szCs w:val="28"/>
              </w:rPr>
              <w:t>6</w:t>
            </w:r>
          </w:p>
        </w:tc>
        <w:tc>
          <w:tcPr>
            <w:tcW w:w="700"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12500元</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75000元</w:t>
            </w:r>
          </w:p>
        </w:tc>
        <w:tc>
          <w:tcPr>
            <w:tcW w:w="1194"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不得超过预算单价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8" w:type="pct"/>
            <w:gridSpan w:val="4"/>
            <w:vAlign w:val="center"/>
          </w:tcPr>
          <w:p>
            <w:pPr>
              <w:spacing w:line="360" w:lineRule="auto"/>
              <w:ind w:firstLine="480" w:firstLineChars="200"/>
              <w:jc w:val="center"/>
              <w:rPr>
                <w:rFonts w:ascii="仿宋" w:hAnsi="仿宋" w:eastAsia="仿宋"/>
                <w:sz w:val="24"/>
                <w:szCs w:val="28"/>
              </w:rPr>
            </w:pPr>
            <w:r>
              <w:rPr>
                <w:rFonts w:hint="eastAsia" w:ascii="仿宋" w:hAnsi="仿宋" w:eastAsia="仿宋"/>
                <w:sz w:val="24"/>
                <w:szCs w:val="28"/>
              </w:rPr>
              <w:t>合计</w:t>
            </w:r>
          </w:p>
        </w:tc>
        <w:tc>
          <w:tcPr>
            <w:tcW w:w="656" w:type="pct"/>
            <w:vAlign w:val="center"/>
          </w:tcPr>
          <w:p>
            <w:pPr>
              <w:spacing w:line="360" w:lineRule="auto"/>
              <w:jc w:val="center"/>
              <w:rPr>
                <w:rFonts w:ascii="仿宋" w:hAnsi="仿宋" w:eastAsia="仿宋"/>
                <w:sz w:val="24"/>
                <w:szCs w:val="28"/>
              </w:rPr>
            </w:pPr>
            <w:r>
              <w:rPr>
                <w:rFonts w:hint="eastAsia" w:ascii="仿宋" w:hAnsi="仿宋" w:eastAsia="仿宋"/>
                <w:sz w:val="24"/>
                <w:szCs w:val="28"/>
              </w:rPr>
              <w:t>120000元</w:t>
            </w:r>
          </w:p>
        </w:tc>
        <w:tc>
          <w:tcPr>
            <w:tcW w:w="1194" w:type="pct"/>
            <w:vAlign w:val="center"/>
          </w:tcPr>
          <w:p>
            <w:pPr>
              <w:spacing w:line="360" w:lineRule="auto"/>
              <w:ind w:firstLine="480" w:firstLineChars="200"/>
              <w:jc w:val="center"/>
              <w:rPr>
                <w:rFonts w:ascii="仿宋" w:hAnsi="仿宋" w:eastAsia="仿宋"/>
                <w:sz w:val="24"/>
                <w:szCs w:val="28"/>
              </w:rPr>
            </w:pPr>
          </w:p>
        </w:tc>
      </w:tr>
    </w:tbl>
    <w:p>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采购需求：详见需求附表，并提供计量检定机构出具的合格证书</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4"/>
        <w:spacing w:line="360" w:lineRule="auto"/>
        <w:rPr>
          <w:rFonts w:ascii="黑体" w:hAnsi="黑体" w:cs="宋体"/>
          <w:b w:val="0"/>
          <w:sz w:val="24"/>
          <w:szCs w:val="28"/>
        </w:rPr>
      </w:pPr>
      <w:bookmarkStart w:id="7" w:name="_Toc35393791"/>
      <w:bookmarkStart w:id="8" w:name="_Toc28359080"/>
      <w:bookmarkStart w:id="9" w:name="_Toc28359003"/>
      <w:bookmarkStart w:id="10" w:name="_Toc35393622"/>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（2）具有良好的商业信誉和健全的财务会计制度（提供2022年度的财务报表或财政部门认可的政府采购专业担保机构出具的投标担保函）；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pPr>
        <w:pStyle w:val="16"/>
        <w:widowControl/>
        <w:tabs>
          <w:tab w:val="left" w:pos="0"/>
        </w:tabs>
        <w:spacing w:line="360" w:lineRule="auto"/>
        <w:ind w:firstLine="480"/>
        <w:rPr>
          <w:rFonts w:ascii="仿宋" w:hAnsi="仿宋" w:eastAsia="仿宋"/>
          <w:sz w:val="24"/>
          <w:szCs w:val="28"/>
        </w:rPr>
      </w:pPr>
      <w:r>
        <w:rPr>
          <w:rFonts w:hint="eastAsia" w:ascii="仿宋" w:hAnsi="仿宋" w:eastAsia="仿宋"/>
          <w:sz w:val="24"/>
          <w:szCs w:val="28"/>
        </w:rPr>
        <w:t>（6）其他证明材料：法人授权人身份证原件（用于现场核查）。</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p>
    <w:p>
      <w:pPr>
        <w:spacing w:line="360" w:lineRule="auto"/>
        <w:rPr>
          <w:rFonts w:ascii="仿宋" w:hAnsi="仿宋" w:eastAsia="仿宋" w:cs="宋体"/>
          <w:sz w:val="24"/>
          <w:szCs w:val="28"/>
        </w:rPr>
      </w:pPr>
      <w:bookmarkStart w:id="11" w:name="_Toc28359005"/>
      <w:bookmarkStart w:id="12" w:name="_Toc28359082"/>
      <w:bookmarkStart w:id="13" w:name="_Toc35393624"/>
      <w:bookmarkStart w:id="14" w:name="_Toc35393793"/>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84"/>
      <w:bookmarkStart w:id="16" w:name="_Toc28359007"/>
      <w:bookmarkStart w:id="17" w:name="_Toc35393625"/>
      <w:bookmarkStart w:id="18" w:name="_Toc35393794"/>
      <w:r>
        <w:rPr>
          <w:rFonts w:ascii="仿宋" w:hAnsi="仿宋" w:eastAsia="仿宋" w:cs="宋体"/>
          <w:sz w:val="24"/>
          <w:szCs w:val="28"/>
        </w:rPr>
        <w:t>递交响应文件开始时间：202</w:t>
      </w:r>
      <w:r>
        <w:rPr>
          <w:rFonts w:hint="eastAsia" w:ascii="仿宋" w:hAnsi="仿宋" w:eastAsia="仿宋" w:cs="宋体"/>
          <w:sz w:val="24"/>
          <w:szCs w:val="28"/>
        </w:rPr>
        <w:t>3</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4</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19</w:t>
      </w:r>
      <w:r>
        <w:rPr>
          <w:rFonts w:hint="eastAsia" w:ascii="仿宋" w:hAnsi="仿宋" w:eastAsia="仿宋" w:cs="宋体"/>
          <w:sz w:val="24"/>
          <w:szCs w:val="28"/>
        </w:rPr>
        <w:t xml:space="preserve">  </w:t>
      </w:r>
      <w:r>
        <w:rPr>
          <w:rFonts w:ascii="仿宋" w:hAnsi="仿宋" w:eastAsia="仿宋" w:cs="宋体"/>
          <w:sz w:val="24"/>
          <w:szCs w:val="28"/>
        </w:rPr>
        <w:t>日上</w:t>
      </w:r>
      <w:r>
        <w:rPr>
          <w:rFonts w:hint="eastAsia" w:ascii="仿宋" w:hAnsi="仿宋" w:eastAsia="仿宋" w:cs="宋体"/>
          <w:sz w:val="24"/>
          <w:szCs w:val="28"/>
        </w:rPr>
        <w:t>午9：00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3</w:t>
      </w:r>
      <w:r>
        <w:rPr>
          <w:rFonts w:ascii="仿宋" w:hAnsi="仿宋" w:eastAsia="仿宋" w:cs="宋体"/>
          <w:sz w:val="24"/>
          <w:szCs w:val="28"/>
        </w:rPr>
        <w:t>年</w:t>
      </w:r>
      <w:r>
        <w:rPr>
          <w:rFonts w:hint="eastAsia" w:ascii="仿宋" w:hAnsi="仿宋" w:eastAsia="仿宋" w:cs="宋体"/>
          <w:sz w:val="24"/>
          <w:szCs w:val="28"/>
          <w:lang w:val="en-US" w:eastAsia="zh-CN"/>
        </w:rPr>
        <w:t>4</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19</w:t>
      </w:r>
      <w:bookmarkStart w:id="27" w:name="_GoBack"/>
      <w:bookmarkEnd w:id="27"/>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rPr>
        <w:t>上午9：30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六、其他补充事宜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35393796"/>
      <w:bookmarkStart w:id="22" w:name="_Toc35393627"/>
      <w:bookmarkStart w:id="23" w:name="_Toc28359008"/>
      <w:bookmarkStart w:id="24" w:name="_Toc28359085"/>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程科</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widowControl/>
        <w:spacing w:line="360" w:lineRule="auto"/>
        <w:jc w:val="left"/>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 xml:space="preserve">熊科 </w:t>
      </w:r>
      <w:r>
        <w:rPr>
          <w:rFonts w:hint="eastAsia" w:ascii="仿宋" w:hAnsi="仿宋" w:eastAsia="仿宋" w:cs="宋体"/>
          <w:sz w:val="24"/>
          <w:szCs w:val="28"/>
        </w:rPr>
        <w:t xml:space="preserve">  联系方式：</w:t>
      </w:r>
      <w:r>
        <w:rPr>
          <w:rFonts w:hint="eastAsia" w:ascii="仿宋" w:hAnsi="仿宋" w:eastAsia="仿宋"/>
          <w:sz w:val="24"/>
          <w:szCs w:val="28"/>
          <w:u w:val="single"/>
        </w:rPr>
        <w:t xml:space="preserve">83538337 </w:t>
      </w:r>
      <w:bookmarkEnd w:id="25"/>
      <w:bookmarkEnd w:id="26"/>
    </w:p>
    <w:p>
      <w:pPr>
        <w:widowControl/>
        <w:jc w:val="center"/>
        <w:rPr>
          <w:rFonts w:ascii="华文中宋" w:hAnsi="华文中宋" w:eastAsia="华文中宋" w:cs="宋体"/>
          <w:b/>
          <w:kern w:val="0"/>
          <w:sz w:val="28"/>
          <w:szCs w:val="28"/>
        </w:rPr>
      </w:pPr>
    </w:p>
    <w:p>
      <w:pPr>
        <w:pStyle w:val="8"/>
        <w:ind w:left="1470" w:right="1470"/>
        <w:rPr>
          <w:rFonts w:ascii="宋体" w:hAnsi="宋体"/>
          <w:sz w:val="21"/>
          <w:szCs w:val="21"/>
        </w:rPr>
      </w:pPr>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2"/>
        <w:tblpPr w:leftFromText="180" w:rightFromText="180" w:vertAnchor="text" w:horzAnchor="page" w:tblpX="1005" w:tblpY="127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本次招标，以进入详细评审的各投标人评标价的最低值为A值，A值的价格分为满分，即30分。其他投标人的价格分统一按照以下公式计算：投标人评标价得分=（A／该投标人评标价）×30。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tcBorders>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投标文件技术参数全符合招标文件要求得40分，采购需求中“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rPr>
              <w:t>5</w:t>
            </w:r>
            <w:r>
              <w:rPr>
                <w:rFonts w:ascii="仿宋" w:hAnsi="仿宋" w:eastAsia="仿宋" w:cs="宋体"/>
                <w:sz w:val="24"/>
                <w:szCs w:val="28"/>
              </w:rPr>
              <w:t>分，“▲”条款有一个负偏离扣</w:t>
            </w:r>
            <w:r>
              <w:rPr>
                <w:rFonts w:hint="eastAsia" w:ascii="仿宋" w:hAnsi="仿宋" w:eastAsia="仿宋" w:cs="宋体"/>
                <w:sz w:val="24"/>
                <w:szCs w:val="28"/>
              </w:rPr>
              <w:t>3</w:t>
            </w:r>
            <w:r>
              <w:rPr>
                <w:rFonts w:ascii="仿宋" w:hAnsi="仿宋" w:eastAsia="仿宋" w:cs="宋体"/>
                <w:sz w:val="24"/>
                <w:szCs w:val="28"/>
              </w:rPr>
              <w:t>分，其余条款有一个负偏离扣</w:t>
            </w:r>
            <w:r>
              <w:rPr>
                <w:rFonts w:hint="eastAsia" w:ascii="仿宋" w:hAnsi="仿宋" w:eastAsia="仿宋" w:cs="宋体"/>
                <w:sz w:val="24"/>
                <w:szCs w:val="28"/>
              </w:rPr>
              <w:t>2</w:t>
            </w:r>
            <w:r>
              <w:rPr>
                <w:rFonts w:ascii="仿宋" w:hAnsi="仿宋" w:eastAsia="仿宋" w:cs="宋体"/>
                <w:sz w:val="24"/>
                <w:szCs w:val="28"/>
              </w:rPr>
              <w:t>分，扣完为止。</w:t>
            </w:r>
            <w:r>
              <w:rPr>
                <w:rFonts w:hint="eastAsia" w:ascii="仿宋" w:hAnsi="仿宋" w:eastAsia="仿宋" w:cs="宋体"/>
                <w:sz w:val="24"/>
                <w:szCs w:val="28"/>
              </w:rPr>
              <w:t>（提供复印件加盖投标人公章）</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tcBorders>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投标人须提交本设备免费质保期一年的书面承诺书，质保期满足招标文件要求的得2分，质保期超过招标文件规定的年限，每延长一年质保加3分，满分8分。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2</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7</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4</w:t>
            </w:r>
            <w:r>
              <w:rPr>
                <w:rFonts w:hint="eastAsia" w:ascii="仿宋" w:hAnsi="仿宋" w:eastAsia="仿宋" w:cs="宋体"/>
                <w:sz w:val="24"/>
                <w:szCs w:val="28"/>
              </w:rPr>
              <w:t>分；分布一般、备件不齐全、人员专业性，保障性一般得1分；未提供的不得分。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3</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3</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2</w:t>
            </w:r>
            <w:r>
              <w:rPr>
                <w:rFonts w:hint="eastAsia" w:ascii="仿宋" w:hAnsi="仿宋" w:eastAsia="仿宋" w:cs="宋体"/>
                <w:sz w:val="24"/>
                <w:szCs w:val="28"/>
              </w:rPr>
              <w:t>；培训方案不完整，培训内容不详细不得分。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提供自2021年1月1日以来投标人完成的合同中有与该项目设备同规格型号，每提供一个合同得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5</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投标产品属于财政部、国家发改委公布的“节能产品品目清单”范围内的，投标人提供国家确定的认证机构出具的、处于有效期之内的该节能产品认证证书得1分，否则不得分。</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1、对</w:t>
      </w:r>
      <w:r>
        <w:rPr>
          <w:rFonts w:hint="eastAsia" w:ascii="仿宋" w:hAnsi="仿宋" w:eastAsia="仿宋" w:cs="宋体"/>
          <w:sz w:val="24"/>
          <w:szCs w:val="28"/>
        </w:rPr>
        <w:t>中、</w:t>
      </w:r>
      <w:r>
        <w:rPr>
          <w:rFonts w:ascii="仿宋" w:hAnsi="仿宋" w:eastAsia="仿宋" w:cs="宋体"/>
          <w:sz w:val="24"/>
          <w:szCs w:val="28"/>
        </w:rPr>
        <w:t>小微企业</w:t>
      </w:r>
      <w:r>
        <w:rPr>
          <w:rFonts w:hint="eastAsia" w:ascii="仿宋" w:hAnsi="仿宋" w:eastAsia="仿宋" w:cs="宋体"/>
          <w:sz w:val="24"/>
          <w:szCs w:val="28"/>
        </w:rPr>
        <w:t>、《残疾人福利性单位声明函》、《属于监狱企业的证明文件》</w:t>
      </w:r>
      <w:r>
        <w:rPr>
          <w:rFonts w:ascii="仿宋" w:hAnsi="仿宋" w:eastAsia="仿宋" w:cs="宋体"/>
          <w:sz w:val="24"/>
          <w:szCs w:val="28"/>
        </w:rPr>
        <w:t>提供的服务给予投标价的10%价格扣除，用扣除后的价格参与评审。</w:t>
      </w: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2、所有认证、证明和业绩均以有效的证明文件的复印件为依据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8"/>
        <w:ind w:left="1470" w:right="1470"/>
        <w:rPr>
          <w:rFonts w:ascii="仿宋" w:hAnsi="仿宋" w:eastAsia="仿宋" w:cs="宋体"/>
          <w:szCs w:val="28"/>
        </w:rPr>
      </w:pPr>
    </w:p>
    <w:p>
      <w:pPr>
        <w:pStyle w:val="17"/>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17"/>
        <w:spacing w:line="360" w:lineRule="auto"/>
        <w:ind w:firstLine="482"/>
        <w:rPr>
          <w:rFonts w:ascii="仿宋" w:hAnsi="仿宋" w:eastAsia="仿宋" w:cs="宋体"/>
          <w:b/>
          <w:bCs/>
          <w:sz w:val="24"/>
          <w:szCs w:val="28"/>
          <w:lang w:val="en-US"/>
        </w:rPr>
      </w:pPr>
      <w:r>
        <w:rPr>
          <w:rFonts w:hint="eastAsia" w:ascii="仿宋" w:hAnsi="仿宋" w:eastAsia="仿宋" w:cs="宋体"/>
          <w:b/>
          <w:bCs/>
          <w:sz w:val="24"/>
          <w:szCs w:val="28"/>
          <w:lang w:val="en-US"/>
        </w:rPr>
        <w:t>一、技术要求</w:t>
      </w:r>
    </w:p>
    <w:p>
      <w:pPr>
        <w:pStyle w:val="18"/>
        <w:snapToGrid w:val="0"/>
        <w:spacing w:line="360" w:lineRule="auto"/>
        <w:ind w:firstLine="480" w:firstLineChars="200"/>
        <w:jc w:val="both"/>
        <w:textAlignment w:val="baseline"/>
        <w:rPr>
          <w:rFonts w:ascii="仿宋" w:hAnsi="仿宋" w:eastAsia="仿宋" w:cs="宋体"/>
          <w:color w:val="auto"/>
          <w:kern w:val="2"/>
          <w:szCs w:val="28"/>
        </w:rPr>
      </w:pPr>
      <w:r>
        <w:rPr>
          <w:rFonts w:hint="eastAsia" w:ascii="仿宋" w:hAnsi="仿宋" w:eastAsia="仿宋" w:cs="宋体"/>
          <w:color w:val="auto"/>
          <w:kern w:val="2"/>
          <w:szCs w:val="28"/>
        </w:rPr>
        <w:t>★、▲（需提供产品彩页或者官方网站链接及截图作为证明材料，未提供视为无效响应）</w:t>
      </w:r>
    </w:p>
    <w:tbl>
      <w:tblPr>
        <w:tblStyle w:val="13"/>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6078"/>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76" w:type="pct"/>
          </w:tcPr>
          <w:p>
            <w:pPr>
              <w:pStyle w:val="17"/>
              <w:ind w:firstLine="0" w:firstLineChars="0"/>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设备  名称</w:t>
            </w:r>
          </w:p>
        </w:tc>
        <w:tc>
          <w:tcPr>
            <w:tcW w:w="3089" w:type="pct"/>
          </w:tcPr>
          <w:p>
            <w:pPr>
              <w:pStyle w:val="17"/>
              <w:ind w:firstLine="420"/>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参数要求</w:t>
            </w:r>
          </w:p>
        </w:tc>
        <w:tc>
          <w:tcPr>
            <w:tcW w:w="1334" w:type="pct"/>
          </w:tcPr>
          <w:p>
            <w:pPr>
              <w:pStyle w:val="17"/>
              <w:ind w:firstLine="420"/>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pStyle w:val="17"/>
              <w:ind w:firstLine="0" w:firstLineChars="0"/>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六级筛孔微生物采样器</w:t>
            </w:r>
          </w:p>
        </w:tc>
        <w:tc>
          <w:tcPr>
            <w:tcW w:w="3089" w:type="pct"/>
          </w:tcPr>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★1、捕获率：≥98％；</w:t>
            </w:r>
          </w:p>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★2、捕获粒子范围：</w:t>
            </w:r>
          </w:p>
          <w:p>
            <w:pPr>
              <w:ind w:left="496"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   第一级  ＞7.0um          孔径1.18mm</w:t>
            </w:r>
          </w:p>
          <w:p>
            <w:pPr>
              <w:ind w:left="496"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   第二级  4.7-7.0um         孔径0.91mm</w:t>
            </w:r>
          </w:p>
          <w:p>
            <w:pPr>
              <w:ind w:left="496"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   第三级  3.3-4.7um         孔径0.71mm</w:t>
            </w:r>
          </w:p>
          <w:p>
            <w:pPr>
              <w:ind w:left="496"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   第四级  2.1-3.3um         孔径0.53mm</w:t>
            </w:r>
          </w:p>
          <w:p>
            <w:pPr>
              <w:ind w:left="496"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   第五级  1.1-2.1um         孔径0.34mm</w:t>
            </w:r>
          </w:p>
          <w:p>
            <w:pPr>
              <w:ind w:left="496"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   第六级  0.65-1.1um        孔径0.25mm；</w:t>
            </w:r>
          </w:p>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▲3、采样流量28.3L/min（可调节）；</w:t>
            </w:r>
          </w:p>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4、电源：AV220V   功率：35W。</w:t>
            </w:r>
          </w:p>
        </w:tc>
        <w:tc>
          <w:tcPr>
            <w:tcW w:w="1334" w:type="pct"/>
          </w:tcPr>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(1)主机：一套（含真空泵，流量剂，定时器各1个）</w:t>
            </w:r>
          </w:p>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(2)撞击器：6级撞击器一台</w:t>
            </w:r>
          </w:p>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 三脚架：一台</w:t>
            </w:r>
          </w:p>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(4)操作手册：一份</w:t>
            </w:r>
          </w:p>
          <w:p>
            <w:pPr>
              <w:ind w:right="-1052" w:rightChars="-501"/>
              <w:jc w:val="left"/>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(5)连接管等专用附件：一套</w:t>
            </w:r>
          </w:p>
          <w:p>
            <w:pPr>
              <w:pStyle w:val="17"/>
              <w:ind w:firstLine="0" w:firstLineChars="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 铝合金手提箱：一个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pct"/>
            <w:vAlign w:val="center"/>
          </w:tcPr>
          <w:p>
            <w:pPr>
              <w:jc w:val="cente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个体空气采样器</w:t>
            </w:r>
          </w:p>
        </w:tc>
        <w:tc>
          <w:tcPr>
            <w:tcW w:w="3089" w:type="pct"/>
          </w:tcPr>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▲1、流量范围：总流量范围：1-5100cc/min，高流量范围：450-5100cc/min，低流量范围：20-445cc/min.，能够达到粉尘、毒物的高低流量采样功能。既可以做个体粉尘（2L/min），也可以做个体或定点毒物采样；</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2、四种采样模式：集四种采样模式于一台；恒压高流、恒压低流，恒流高流、恒流低流；具有宽动态的流量范围，不需要外接适配器，可实现高流量恒流恒压和低流量恒流恒压采样功能；</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3、采样的代表性：流量改变超过5%显示错误，并显示流量错误界面和红灯闪烁提示错误时间持续30S自动停机并可选自动错误恢复功能。如果错误持续30 秒或者电池电量不足30秒，泵自动停机。自动错误恢复功能，每3 分钟重启一次，连续重复启动10次，错误时间不会被累加到已经累计和显示的采样运行时间中，也可以停用自动错误恢复功能 ，或保持手动重新启动；</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4、流量精度保证：高流量时耐背压40”H2O(10Ka），保证采样额精确性；</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5、背光显示界面：显示流量、采样时间、采样体积、背压、电池预期可采样时间、日期、时间、采样模式、电池剩余电量，背景灯；</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6、操作时间：可连续工作8小时以上；</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★7、流量示值误差：±5%，流量稳定性：≤5%，流量重复性：≤2%，计时误差：≤±0.2%；</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8、本质安全认证：符合ATEX、IECEx、CSA、FM标准，确保在危险环境场所的安全采样。</w:t>
            </w:r>
          </w:p>
        </w:tc>
        <w:tc>
          <w:tcPr>
            <w:tcW w:w="1334" w:type="pct"/>
          </w:tcPr>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（1）主机1台</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（2）充电基座及充电器1套，</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（3）套管、连接软管1根，</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（4）高低流量切换扳手1个，</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（5）数据分析软件1套，</w:t>
            </w:r>
          </w:p>
          <w:p>
            <w:pPr>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（6）出厂检测报告1份。</w:t>
            </w:r>
          </w:p>
        </w:tc>
      </w:tr>
    </w:tbl>
    <w:p>
      <w:pPr>
        <w:pStyle w:val="11"/>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rPr>
        <w:t>四、商务条款部分要求：</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60</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。进口设备须提供设备的报关单、关税单、商检证明材料（加盖供应商公章）。</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2、供应商负责派原厂技术人员到现场进行安装调试，直至验收合格；供应商应在货物抵达现场时，向采购人提供安装调试及运行的进度计划表。</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1年（自验收报告签字确认日起，开始进入质保期）。质保期内、外承诺货物均由原厂技术人员进行维护保养，且为保证产品质量投标人须提供生产厂商对本项目售后服务承诺书。</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2、设备须</w:t>
      </w:r>
      <w:r>
        <w:rPr>
          <w:rFonts w:hint="eastAsia" w:ascii="仿宋" w:hAnsi="仿宋" w:eastAsia="仿宋"/>
          <w:sz w:val="24"/>
          <w:szCs w:val="28"/>
        </w:rPr>
        <w:t>提供计量检定机构出具的合格证书</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3、故障响应时间：24小时热线服务，全年无节假日；专业工程师在接到通知后8小时内做出响应，24小时内到达维修现场，以确保可提供及时的服务。</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4、质保期内如同一故障发生三次，或在2月内无法修复，或不能提供合格检定报告，供应商无条件换货，立即更换新机。终生提供免费维护和保养服务（免收人工费）。</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1"/>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1"/>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spacing w:line="360" w:lineRule="auto"/>
        <w:ind w:firstLine="422" w:firstLineChars="200"/>
        <w:jc w:val="left"/>
        <w:rPr>
          <w:rFonts w:ascii="宋体" w:hAnsi="宋体" w:cs="宋体"/>
          <w:b/>
          <w:bCs/>
          <w:kern w:val="0"/>
          <w:szCs w:val="21"/>
        </w:rPr>
      </w:pPr>
    </w:p>
    <w:p>
      <w:pPr>
        <w:pStyle w:val="17"/>
        <w:ind w:firstLine="0" w:firstLineChars="0"/>
        <w:rPr>
          <w:szCs w:val="21"/>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7"/>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招标要求，正式授权下述签字人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3570" w:firstLineChars="1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2"/>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6"/>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5"/>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numPr>
          <w:ilvl w:val="0"/>
          <w:numId w:val="3"/>
        </w:numPr>
        <w:jc w:val="center"/>
        <w:rPr>
          <w:rFonts w:ascii="宋体" w:hAnsi="宋体" w:cs="宋体"/>
          <w:b/>
          <w:bCs/>
          <w:szCs w:val="21"/>
        </w:rPr>
      </w:pPr>
      <w:r>
        <w:rPr>
          <w:rFonts w:hint="eastAsia" w:ascii="宋体" w:hAnsi="宋体" w:cs="宋体"/>
          <w:szCs w:val="21"/>
        </w:rPr>
        <w:t>本项目仅接受一个价格，不得填报有选择性报价方案。</w:t>
      </w:r>
      <w:r>
        <w:rPr>
          <w:rFonts w:hint="eastAsia" w:ascii="宋体" w:hAnsi="宋体" w:cs="宋体"/>
          <w:b/>
          <w:bCs/>
          <w:szCs w:val="21"/>
        </w:rPr>
        <w:t>不得填报超过预算的价格，若超过预算价格视</w:t>
      </w:r>
    </w:p>
    <w:p>
      <w:pPr>
        <w:rPr>
          <w:rFonts w:ascii="宋体" w:hAnsi="宋体" w:cs="宋体"/>
          <w:szCs w:val="21"/>
        </w:rPr>
      </w:pPr>
      <w:r>
        <w:rPr>
          <w:rFonts w:hint="eastAsia" w:ascii="宋体" w:hAnsi="宋体" w:cs="宋体"/>
          <w:b/>
          <w:bCs/>
          <w:szCs w:val="21"/>
        </w:rPr>
        <w:t>为无效投标</w:t>
      </w:r>
      <w:r>
        <w:rPr>
          <w:rFonts w:hint="eastAsia" w:ascii="宋体" w:hAnsi="宋体" w:cs="宋体"/>
          <w:szCs w:val="21"/>
        </w:rPr>
        <w:t>。若有优惠条款须注明，但不得影响报价，影响产品整体功能。</w:t>
      </w:r>
    </w:p>
    <w:p>
      <w:pPr>
        <w:numPr>
          <w:ilvl w:val="0"/>
          <w:numId w:val="3"/>
        </w:numPr>
        <w:jc w:val="center"/>
        <w:rPr>
          <w:rFonts w:ascii="宋体" w:hAnsi="宋体" w:cs="宋体"/>
          <w:szCs w:val="21"/>
        </w:rPr>
      </w:pPr>
      <w:r>
        <w:rPr>
          <w:rFonts w:hint="eastAsia" w:ascii="宋体" w:hAnsi="宋体" w:cs="宋体"/>
          <w:szCs w:val="21"/>
        </w:rPr>
        <w:t>“投标人是否属于小微型企业</w:t>
      </w:r>
      <w:r>
        <w:rPr>
          <w:rFonts w:hint="eastAsia" w:ascii="宋体" w:hAnsi="宋体" w:cs="宋体"/>
          <w:szCs w:val="21"/>
          <w:lang w:val="zh-CN"/>
        </w:rPr>
        <w:t>”栏内填写“是”或“否”。如填写“是”，</w:t>
      </w:r>
      <w:r>
        <w:rPr>
          <w:rFonts w:hint="eastAsia" w:ascii="宋体" w:hAnsi="宋体" w:cs="宋体"/>
          <w:szCs w:val="21"/>
        </w:rPr>
        <w:t>投标人需提供《中小企业声</w:t>
      </w:r>
    </w:p>
    <w:p>
      <w:pPr>
        <w:rPr>
          <w:rFonts w:ascii="宋体" w:hAnsi="宋体" w:cs="宋体"/>
          <w:szCs w:val="21"/>
        </w:rPr>
      </w:pPr>
      <w:r>
        <w:rPr>
          <w:rFonts w:hint="eastAsia" w:ascii="宋体" w:hAnsi="宋体" w:cs="宋体"/>
          <w:szCs w:val="21"/>
        </w:rPr>
        <w:t>明函》、《残疾人福利性单位声明函》、《属于监狱企业的证明文件》。</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7"/>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2"/>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7"/>
        <w:ind w:firstLine="420"/>
        <w:rPr>
          <w:rFonts w:ascii="宋体" w:hAnsi="宋体" w:cs="宋体"/>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Light">
    <w:altName w:val="微软雅黑"/>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1CBBB"/>
    <w:multiLevelType w:val="singleLevel"/>
    <w:tmpl w:val="9321CBBB"/>
    <w:lvl w:ilvl="0" w:tentative="0">
      <w:start w:val="1"/>
      <w:numFmt w:val="decimal"/>
      <w:suff w:val="nothing"/>
      <w:lvlText w:val="%1、"/>
      <w:lvlJc w:val="left"/>
    </w:lvl>
  </w:abstractNum>
  <w:abstractNum w:abstractNumId="1">
    <w:nsid w:val="C1822433"/>
    <w:multiLevelType w:val="singleLevel"/>
    <w:tmpl w:val="C1822433"/>
    <w:lvl w:ilvl="0" w:tentative="0">
      <w:start w:val="3"/>
      <w:numFmt w:val="chineseCounting"/>
      <w:suff w:val="space"/>
      <w:lvlText w:val="第%1章"/>
      <w:lvlJc w:val="left"/>
      <w:rPr>
        <w:rFonts w:hint="eastAsia"/>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34904AB8"/>
    <w:rsid w:val="00171A65"/>
    <w:rsid w:val="0028112D"/>
    <w:rsid w:val="005D3616"/>
    <w:rsid w:val="0068427B"/>
    <w:rsid w:val="006B49AA"/>
    <w:rsid w:val="00CB2CE1"/>
    <w:rsid w:val="00F51BB3"/>
    <w:rsid w:val="0DDC3173"/>
    <w:rsid w:val="1A045582"/>
    <w:rsid w:val="34904AB8"/>
    <w:rsid w:val="428145C1"/>
    <w:rsid w:val="5C00752A"/>
    <w:rsid w:val="5E883C3A"/>
    <w:rsid w:val="7966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5">
    <w:name w:val="Normal Indent"/>
    <w:basedOn w:val="1"/>
    <w:qFormat/>
    <w:uiPriority w:val="0"/>
    <w:pPr>
      <w:ind w:firstLine="420"/>
    </w:pPr>
    <w:rPr>
      <w:kern w:val="0"/>
      <w:sz w:val="20"/>
    </w:rPr>
  </w:style>
  <w:style w:type="paragraph" w:styleId="6">
    <w:name w:val="annotation text"/>
    <w:basedOn w:val="1"/>
    <w:link w:val="19"/>
    <w:qFormat/>
    <w:uiPriority w:val="0"/>
    <w:pPr>
      <w:jc w:val="lef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annotation subject"/>
    <w:basedOn w:val="6"/>
    <w:next w:val="6"/>
    <w:link w:val="20"/>
    <w:qFormat/>
    <w:uiPriority w:val="0"/>
    <w:rPr>
      <w:b/>
      <w:bCs/>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styleId="16">
    <w:name w:val="List Paragraph"/>
    <w:basedOn w:val="1"/>
    <w:qFormat/>
    <w:uiPriority w:val="34"/>
    <w:pPr>
      <w:ind w:firstLine="420" w:firstLineChars="200"/>
    </w:pPr>
  </w:style>
  <w:style w:type="paragraph" w:customStyle="1" w:styleId="17">
    <w:name w:val="首行缩进"/>
    <w:basedOn w:val="1"/>
    <w:qFormat/>
    <w:uiPriority w:val="0"/>
    <w:pPr>
      <w:ind w:firstLine="480" w:firstLineChars="200"/>
    </w:pPr>
    <w:rPr>
      <w:szCs w:val="20"/>
      <w:lang w:val="zh-CN"/>
    </w:rPr>
  </w:style>
  <w:style w:type="paragraph" w:customStyle="1" w:styleId="18">
    <w:name w:val="Default"/>
    <w:qFormat/>
    <w:uiPriority w:val="0"/>
    <w:pPr>
      <w:autoSpaceDE w:val="0"/>
      <w:autoSpaceDN w:val="0"/>
      <w:adjustRightInd w:val="0"/>
    </w:pPr>
    <w:rPr>
      <w:rFonts w:ascii="Noto Sans CJK SC Light" w:hAnsi="Calibri" w:eastAsia="Noto Sans CJK SC Light" w:cs="Noto Sans CJK SC Light"/>
      <w:color w:val="000000"/>
      <w:sz w:val="24"/>
      <w:szCs w:val="24"/>
      <w:lang w:val="en-US" w:eastAsia="zh-CN" w:bidi="ar-SA"/>
    </w:rPr>
  </w:style>
  <w:style w:type="character" w:customStyle="1" w:styleId="19">
    <w:name w:val="批注文字 字符"/>
    <w:basedOn w:val="14"/>
    <w:link w:val="6"/>
    <w:qFormat/>
    <w:uiPriority w:val="0"/>
    <w:rPr>
      <w:rFonts w:ascii="Calibri" w:hAnsi="Calibri" w:eastAsia="宋体" w:cs="Times New Roman"/>
      <w:kern w:val="2"/>
      <w:sz w:val="21"/>
      <w:szCs w:val="22"/>
    </w:rPr>
  </w:style>
  <w:style w:type="character" w:customStyle="1" w:styleId="20">
    <w:name w:val="批注主题 字符"/>
    <w:basedOn w:val="19"/>
    <w:link w:val="10"/>
    <w:qFormat/>
    <w:uiPriority w:val="0"/>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6915</Words>
  <Characters>7244</Characters>
  <Lines>59</Lines>
  <Paragraphs>16</Paragraphs>
  <TotalTime>53</TotalTime>
  <ScaleCrop>false</ScaleCrop>
  <LinksUpToDate>false</LinksUpToDate>
  <CharactersWithSpaces>7576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2023-04-06T02:35:00Z</dcterms:created>
  <dc:creator>admin</dc:creator>
  <cp:lastModifiedBy>admin</cp:lastModifiedBy>
  <dcterms:modified xsi:type="dcterms:W3CDTF">2023-04-11T06:32:45Z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76D20711BD2D4877AA8968C0687EBA8F_13</vt:lpwstr>
  </property>
</Properties>
</file>