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48"/>
          <w:szCs w:val="56"/>
        </w:rPr>
      </w:pPr>
      <w:r>
        <w:rPr>
          <w:rFonts w:hint="eastAsia" w:eastAsia="黑体"/>
          <w:b/>
          <w:bCs/>
          <w:sz w:val="52"/>
          <w:szCs w:val="36"/>
        </w:rPr>
        <w:t>2022年</w:t>
      </w:r>
      <w:r>
        <w:rPr>
          <w:rFonts w:hint="eastAsia" w:eastAsia="黑体"/>
          <w:b/>
          <w:bCs/>
          <w:sz w:val="48"/>
          <w:szCs w:val="56"/>
        </w:rPr>
        <w:t>南京市疾控中心</w:t>
      </w:r>
    </w:p>
    <w:p>
      <w:pPr>
        <w:spacing w:line="360" w:lineRule="auto"/>
        <w:jc w:val="center"/>
        <w:rPr>
          <w:rFonts w:eastAsia="黑体"/>
          <w:b/>
          <w:bCs/>
          <w:sz w:val="48"/>
          <w:szCs w:val="56"/>
        </w:rPr>
      </w:pPr>
      <w:r>
        <w:rPr>
          <w:rFonts w:hint="eastAsia" w:eastAsia="黑体"/>
          <w:b/>
          <w:bCs/>
          <w:sz w:val="48"/>
          <w:szCs w:val="56"/>
        </w:rPr>
        <w:t>疫苗用注射器采购</w:t>
      </w:r>
      <w:r>
        <w:rPr>
          <w:rFonts w:eastAsia="黑体"/>
          <w:b/>
          <w:bCs/>
          <w:sz w:val="48"/>
          <w:szCs w:val="56"/>
        </w:rPr>
        <w:t>项目</w:t>
      </w:r>
    </w:p>
    <w:p>
      <w:pPr>
        <w:spacing w:line="520" w:lineRule="exact"/>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2022</w:t>
      </w:r>
      <w:r>
        <w:rPr>
          <w:rFonts w:hAnsiTheme="minorEastAsia"/>
          <w:sz w:val="28"/>
          <w:szCs w:val="28"/>
        </w:rPr>
        <w:t>年</w:t>
      </w:r>
      <w:r>
        <w:rPr>
          <w:rFonts w:hint="eastAsia" w:hAnsiTheme="minorEastAsia"/>
          <w:sz w:val="28"/>
          <w:szCs w:val="28"/>
        </w:rPr>
        <w:t>6</w:t>
      </w:r>
      <w:r>
        <w:rPr>
          <w:rFonts w:hAnsiTheme="minorEastAsia"/>
          <w:sz w:val="28"/>
          <w:szCs w:val="28"/>
        </w:rPr>
        <w:t>月</w:t>
      </w:r>
      <w:r>
        <w:rPr>
          <w:rFonts w:hint="eastAsia" w:hAnsiTheme="minorEastAsia"/>
          <w:sz w:val="28"/>
          <w:szCs w:val="28"/>
        </w:rPr>
        <w:t>1</w:t>
      </w:r>
      <w:r>
        <w:rPr>
          <w:rFonts w:hint="eastAsia" w:hAnsiTheme="minorEastAsia"/>
          <w:sz w:val="28"/>
          <w:szCs w:val="28"/>
          <w:lang w:val="en-US" w:eastAsia="zh-CN"/>
        </w:rPr>
        <w:t>3</w:t>
      </w:r>
      <w:r>
        <w:rPr>
          <w:rFonts w:hAnsiTheme="minorEastAsia"/>
          <w:sz w:val="28"/>
          <w:szCs w:val="28"/>
        </w:rPr>
        <w:t>日</w:t>
      </w:r>
    </w:p>
    <w:p>
      <w:pPr>
        <w:spacing w:line="360" w:lineRule="auto"/>
        <w:jc w:val="center"/>
        <w:rPr>
          <w:rFonts w:eastAsia="黑体"/>
          <w:b/>
          <w:bCs/>
          <w:sz w:val="48"/>
          <w:szCs w:val="56"/>
        </w:rPr>
      </w:pPr>
    </w:p>
    <w:p>
      <w:pPr>
        <w:pStyle w:val="18"/>
        <w:ind w:firstLine="420"/>
        <w:rPr>
          <w:lang w:val="en-US"/>
        </w:rPr>
      </w:pPr>
    </w:p>
    <w:p>
      <w:pPr>
        <w:spacing w:line="360" w:lineRule="auto"/>
        <w:jc w:val="center"/>
        <w:rPr>
          <w:rFonts w:eastAsia="黑体"/>
          <w:b/>
          <w:bCs/>
          <w:sz w:val="40"/>
          <w:szCs w:val="56"/>
        </w:rPr>
      </w:pPr>
      <w:r>
        <w:rPr>
          <w:rFonts w:hint="eastAsia" w:eastAsia="黑体"/>
          <w:b/>
          <w:bCs/>
          <w:sz w:val="40"/>
          <w:szCs w:val="56"/>
        </w:rPr>
        <w:t>南京市疾控中心疫苗用注射器采购项目公告</w:t>
      </w:r>
    </w:p>
    <w:p/>
    <w:p>
      <w:pPr>
        <w:widowControl/>
        <w:shd w:val="clear" w:color="auto" w:fill="FFFFFF"/>
        <w:spacing w:line="360" w:lineRule="auto"/>
        <w:ind w:firstLine="370"/>
        <w:rPr>
          <w:rFonts w:ascii="宋体" w:hAnsi="宋体" w:cs="宋体"/>
          <w:spacing w:val="8"/>
          <w:kern w:val="0"/>
          <w:szCs w:val="21"/>
        </w:rPr>
      </w:pPr>
      <w:r>
        <w:rPr>
          <w:rFonts w:hint="eastAsia" w:ascii="宋体" w:hAnsi="宋体" w:cs="宋体"/>
          <w:spacing w:val="8"/>
          <w:kern w:val="0"/>
          <w:szCs w:val="21"/>
        </w:rPr>
        <w:t>南京</w:t>
      </w:r>
      <w:r>
        <w:rPr>
          <w:rFonts w:hint="eastAsia" w:ascii="宋体" w:hAnsi="宋体"/>
          <w:szCs w:val="21"/>
        </w:rPr>
        <w:t>市疾病预防控制疫苗用注射器进行招标</w:t>
      </w:r>
      <w:r>
        <w:rPr>
          <w:rFonts w:hint="eastAsia" w:ascii="宋体" w:hAnsi="宋体" w:cs="宋体"/>
          <w:spacing w:val="8"/>
          <w:kern w:val="0"/>
          <w:szCs w:val="21"/>
        </w:rPr>
        <w:t>采购，项目</w:t>
      </w:r>
      <w:r>
        <w:rPr>
          <w:rFonts w:hint="eastAsia" w:ascii="宋体" w:hAnsi="宋体"/>
          <w:szCs w:val="21"/>
        </w:rPr>
        <w:t>预算6万元，</w:t>
      </w:r>
      <w:r>
        <w:rPr>
          <w:rFonts w:hint="eastAsia" w:ascii="宋体" w:hAnsi="宋体" w:cs="宋体"/>
          <w:spacing w:val="8"/>
          <w:kern w:val="0"/>
          <w:szCs w:val="21"/>
        </w:rPr>
        <w:t>项目采用综合打分法，</w:t>
      </w:r>
      <w:r>
        <w:rPr>
          <w:rFonts w:hint="eastAsia" w:ascii="宋体" w:hAnsi="宋体"/>
          <w:szCs w:val="21"/>
        </w:rPr>
        <w:t>不接受联合体投标，欢迎符合资格条件的供应商参加。现将采购工作等相关事宜，公告如下:</w:t>
      </w:r>
    </w:p>
    <w:p>
      <w:pPr>
        <w:numPr>
          <w:ilvl w:val="0"/>
          <w:numId w:val="1"/>
        </w:numPr>
        <w:spacing w:after="120" w:line="360" w:lineRule="auto"/>
        <w:rPr>
          <w:rFonts w:ascii="宋体" w:hAnsi="宋体"/>
          <w:szCs w:val="21"/>
        </w:rPr>
      </w:pPr>
      <w:r>
        <w:rPr>
          <w:rFonts w:hint="eastAsia" w:ascii="宋体" w:hAnsi="宋体"/>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2"/>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rPr>
        <w:t>2楼会议室；</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FF0000"/>
          <w:szCs w:val="21"/>
        </w:rPr>
        <w:t>2022</w:t>
      </w:r>
      <w:r>
        <w:rPr>
          <w:rFonts w:hint="eastAsia" w:ascii="宋体" w:hAnsi="宋体"/>
          <w:color w:val="FF0000"/>
          <w:szCs w:val="21"/>
          <w:lang w:val="zh-CN"/>
        </w:rPr>
        <w:t>年</w:t>
      </w:r>
      <w:r>
        <w:rPr>
          <w:rFonts w:hint="eastAsia" w:ascii="宋体" w:hAnsi="宋体"/>
          <w:color w:val="FF0000"/>
          <w:szCs w:val="21"/>
          <w:lang w:val="en-US" w:eastAsia="zh-CN"/>
        </w:rPr>
        <w:t>6</w:t>
      </w:r>
      <w:r>
        <w:rPr>
          <w:rFonts w:hint="eastAsia" w:ascii="宋体" w:hAnsi="宋体"/>
          <w:color w:val="FF0000"/>
          <w:szCs w:val="21"/>
          <w:lang w:val="zh-CN"/>
        </w:rPr>
        <w:t>月</w:t>
      </w:r>
      <w:r>
        <w:rPr>
          <w:rFonts w:hint="eastAsia" w:ascii="宋体" w:hAnsi="宋体"/>
          <w:color w:val="FF0000"/>
          <w:szCs w:val="21"/>
          <w:lang w:val="en-US" w:eastAsia="zh-CN"/>
        </w:rPr>
        <w:t>21</w:t>
      </w:r>
      <w:r>
        <w:rPr>
          <w:rFonts w:hint="eastAsia" w:ascii="宋体" w:hAnsi="宋体"/>
          <w:color w:val="FF0000"/>
          <w:szCs w:val="21"/>
          <w:lang w:val="zh-CN"/>
        </w:rPr>
        <w:t>日上午</w:t>
      </w:r>
      <w:r>
        <w:rPr>
          <w:rFonts w:hint="eastAsia" w:ascii="宋体" w:hAnsi="宋体"/>
          <w:color w:val="FF0000"/>
          <w:szCs w:val="21"/>
          <w:lang w:val="en-US" w:eastAsia="zh-CN"/>
        </w:rPr>
        <w:t>9</w:t>
      </w:r>
      <w:r>
        <w:rPr>
          <w:rFonts w:hint="eastAsia" w:ascii="宋体" w:hAnsi="宋体"/>
          <w:color w:val="FF0000"/>
          <w:szCs w:val="21"/>
        </w:rPr>
        <w:t>：00</w:t>
      </w:r>
      <w:r>
        <w:rPr>
          <w:rFonts w:hint="eastAsia" w:ascii="宋体" w:hAnsi="宋体"/>
          <w:szCs w:val="21"/>
        </w:rPr>
        <w:t>（北京时间）；</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FF0000"/>
          <w:szCs w:val="21"/>
          <w:lang w:val="zh-CN"/>
        </w:rPr>
        <w:t>20</w:t>
      </w:r>
      <w:r>
        <w:rPr>
          <w:rFonts w:hint="eastAsia" w:ascii="宋体" w:hAnsi="宋体"/>
          <w:color w:val="FF0000"/>
          <w:szCs w:val="21"/>
        </w:rPr>
        <w:t>22</w:t>
      </w:r>
      <w:r>
        <w:rPr>
          <w:rFonts w:hint="eastAsia" w:ascii="宋体" w:hAnsi="宋体"/>
          <w:color w:val="FF0000"/>
          <w:szCs w:val="21"/>
          <w:lang w:val="zh-CN"/>
        </w:rPr>
        <w:t>年</w:t>
      </w:r>
      <w:r>
        <w:rPr>
          <w:rFonts w:hint="eastAsia" w:ascii="宋体" w:hAnsi="宋体"/>
          <w:color w:val="FF0000"/>
          <w:szCs w:val="21"/>
          <w:lang w:val="en-US" w:eastAsia="zh-CN"/>
        </w:rPr>
        <w:t>6</w:t>
      </w:r>
      <w:r>
        <w:rPr>
          <w:rFonts w:hint="eastAsia" w:ascii="宋体" w:hAnsi="宋体"/>
          <w:color w:val="FF0000"/>
          <w:szCs w:val="21"/>
          <w:lang w:val="zh-CN"/>
        </w:rPr>
        <w:t>月</w:t>
      </w:r>
      <w:r>
        <w:rPr>
          <w:rFonts w:hint="eastAsia" w:ascii="宋体" w:hAnsi="宋体"/>
          <w:color w:val="FF0000"/>
          <w:szCs w:val="21"/>
          <w:lang w:val="en-US" w:eastAsia="zh-CN"/>
        </w:rPr>
        <w:t>21</w:t>
      </w:r>
      <w:r>
        <w:rPr>
          <w:rFonts w:hint="eastAsia" w:ascii="宋体" w:hAnsi="宋体"/>
          <w:color w:val="FF0000"/>
          <w:szCs w:val="21"/>
          <w:lang w:val="zh-CN"/>
        </w:rPr>
        <w:t>日上</w:t>
      </w:r>
      <w:r>
        <w:rPr>
          <w:rFonts w:hint="eastAsia" w:ascii="宋体" w:hAnsi="宋体"/>
          <w:color w:val="FF0000"/>
          <w:szCs w:val="21"/>
        </w:rPr>
        <w:t>午</w:t>
      </w:r>
      <w:r>
        <w:rPr>
          <w:rFonts w:hint="eastAsia" w:ascii="宋体" w:hAnsi="宋体"/>
          <w:color w:val="FF0000"/>
          <w:szCs w:val="21"/>
          <w:lang w:val="en-US" w:eastAsia="zh-CN"/>
        </w:rPr>
        <w:t>9</w:t>
      </w:r>
      <w:r>
        <w:rPr>
          <w:rFonts w:hint="eastAsia" w:ascii="宋体" w:hAnsi="宋体"/>
          <w:color w:val="FF0000"/>
          <w:szCs w:val="21"/>
        </w:rPr>
        <w:t>：30</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响应文件所报的响应价格不得超过预算总价，超过预算总价的按无效投标处理。</w:t>
      </w:r>
    </w:p>
    <w:p>
      <w:pPr>
        <w:numPr>
          <w:ilvl w:val="0"/>
          <w:numId w:val="1"/>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FF0000"/>
          <w:szCs w:val="21"/>
        </w:rPr>
        <w:t>20</w:t>
      </w:r>
      <w:r>
        <w:rPr>
          <w:rFonts w:hint="eastAsia" w:ascii="宋体" w:hAnsi="宋体"/>
          <w:color w:val="FF0000"/>
          <w:szCs w:val="21"/>
        </w:rPr>
        <w:t>22年</w:t>
      </w:r>
      <w:r>
        <w:rPr>
          <w:rFonts w:hint="eastAsia" w:ascii="宋体" w:hAnsi="宋体"/>
          <w:color w:val="FF0000"/>
          <w:szCs w:val="21"/>
          <w:lang w:val="en-US" w:eastAsia="zh-CN"/>
        </w:rPr>
        <w:t>6</w:t>
      </w:r>
      <w:r>
        <w:rPr>
          <w:rFonts w:hint="eastAsia" w:ascii="宋体" w:hAnsi="宋体"/>
          <w:color w:val="FF0000"/>
          <w:szCs w:val="21"/>
        </w:rPr>
        <w:t xml:space="preserve"> 月 </w:t>
      </w:r>
      <w:r>
        <w:rPr>
          <w:rFonts w:hint="eastAsia" w:ascii="宋体" w:hAnsi="宋体"/>
          <w:color w:val="FF0000"/>
          <w:szCs w:val="21"/>
          <w:lang w:val="en-US" w:eastAsia="zh-CN"/>
        </w:rPr>
        <w:t>21</w:t>
      </w:r>
      <w:r>
        <w:rPr>
          <w:rFonts w:hint="eastAsia" w:ascii="宋体" w:hAnsi="宋体"/>
          <w:color w:val="FF0000"/>
          <w:szCs w:val="21"/>
        </w:rPr>
        <w:t>日上午</w:t>
      </w:r>
      <w:r>
        <w:rPr>
          <w:rFonts w:hint="eastAsia" w:ascii="宋体" w:hAnsi="宋体"/>
          <w:color w:val="FF0000"/>
          <w:szCs w:val="21"/>
          <w:lang w:val="en-US" w:eastAsia="zh-CN"/>
        </w:rPr>
        <w:t>9</w:t>
      </w:r>
      <w:r>
        <w:rPr>
          <w:rFonts w:hint="eastAsia" w:ascii="宋体" w:hAnsi="宋体"/>
          <w:color w:val="FF0000"/>
          <w:szCs w:val="21"/>
        </w:rPr>
        <w:t>：3</w:t>
      </w:r>
      <w:r>
        <w:rPr>
          <w:rFonts w:ascii="宋体" w:hAnsi="宋体"/>
          <w:color w:val="FF0000"/>
          <w:szCs w:val="21"/>
        </w:rPr>
        <w:t>0</w:t>
      </w:r>
      <w:r>
        <w:rPr>
          <w:rFonts w:hint="eastAsia" w:ascii="宋体" w:hAnsi="宋体"/>
          <w:szCs w:val="21"/>
        </w:rPr>
        <w:t>南京市疾病预防控制中心（紫竹林3号）2楼会议室。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）参与者将响应文件以书面密封形式（加盖骑缝章）送达我中心。(未密封、未加盖骑缝章将不得参与本次采购活动)(不接受任何的投递形式)</w:t>
      </w:r>
      <w:bookmarkStart w:id="2" w:name="_GoBack"/>
      <w:bookmarkEnd w:id="2"/>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）我中心开标前（不得拆标）。评审小组将根据对供应商资质要求进行审核。</w:t>
      </w:r>
    </w:p>
    <w:p>
      <w:pPr>
        <w:numPr>
          <w:ilvl w:val="0"/>
          <w:numId w:val="1"/>
        </w:numPr>
        <w:spacing w:after="120" w:line="360" w:lineRule="auto"/>
        <w:rPr>
          <w:rFonts w:ascii="宋体" w:hAnsi="宋体"/>
          <w:szCs w:val="21"/>
        </w:rPr>
      </w:pPr>
      <w:r>
        <w:rPr>
          <w:rFonts w:hint="eastAsia" w:ascii="宋体" w:hAnsi="宋体"/>
          <w:szCs w:val="21"/>
          <w:lang w:val="zh-CN"/>
        </w:rPr>
        <w:t>供应商应具备下列资格条件,并提供证明材料(包括但不限于):</w:t>
      </w:r>
    </w:p>
    <w:p>
      <w:pPr>
        <w:pStyle w:val="19"/>
        <w:numPr>
          <w:ilvl w:val="0"/>
          <w:numId w:val="3"/>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19"/>
        <w:numPr>
          <w:ilvl w:val="0"/>
          <w:numId w:val="3"/>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19"/>
        <w:numPr>
          <w:ilvl w:val="0"/>
          <w:numId w:val="3"/>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19"/>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19"/>
        <w:widowControl/>
        <w:numPr>
          <w:ilvl w:val="0"/>
          <w:numId w:val="3"/>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19"/>
        <w:widowControl/>
        <w:numPr>
          <w:ilvl w:val="0"/>
          <w:numId w:val="3"/>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pStyle w:val="19"/>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宋体" w:hAnsi="宋体"/>
          <w:szCs w:val="21"/>
        </w:rPr>
        <w:t>其他证明材料：具备一年内或近期案例；具有完善的售后服务体系；具有良好的行业信誉，财务数据运营正常；投标人基本情况简介；项目负责人情况表；其他相关材料。</w:t>
      </w:r>
    </w:p>
    <w:p>
      <w:pPr>
        <w:pStyle w:val="19"/>
        <w:numPr>
          <w:ilvl w:val="0"/>
          <w:numId w:val="3"/>
        </w:numPr>
        <w:spacing w:line="360" w:lineRule="auto"/>
        <w:ind w:firstLineChars="0"/>
        <w:rPr>
          <w:rFonts w:ascii="宋体" w:hAnsi="宋体"/>
          <w:szCs w:val="21"/>
        </w:rPr>
      </w:pPr>
      <w:r>
        <w:rPr>
          <w:rFonts w:hint="eastAsia" w:ascii="宋体" w:hAnsi="宋体"/>
          <w:szCs w:val="21"/>
        </w:rPr>
        <w:t>采购人根据采购项目的特殊要求规定的特定条件，并提供符合特殊要求的证明材料或者情况说明：（1）投标人是注射器制造商的必须具备医疗器械生产许可证,且必须通过国家NMPA认证，所投标的注射器必须具备对应的医疗器械注册证；（2）投标人是注射器代理商的，除必须具备上述证书外，还必须具备医疗器械经营许可证</w:t>
      </w:r>
      <w:r>
        <w:rPr>
          <w:rFonts w:hint="eastAsia" w:ascii="宋体" w:hAnsi="宋体"/>
          <w:szCs w:val="21"/>
          <w:lang w:eastAsia="zh-CN"/>
        </w:rPr>
        <w:t>。</w:t>
      </w:r>
    </w:p>
    <w:p>
      <w:pPr>
        <w:widowControl/>
        <w:tabs>
          <w:tab w:val="left" w:pos="0"/>
        </w:tabs>
        <w:spacing w:line="360" w:lineRule="auto"/>
        <w:ind w:left="720"/>
        <w:rPr>
          <w:rFonts w:ascii="宋体" w:hAnsi="宋体"/>
          <w:szCs w:val="21"/>
        </w:rPr>
      </w:pPr>
    </w:p>
    <w:p>
      <w:pPr>
        <w:numPr>
          <w:ilvl w:val="0"/>
          <w:numId w:val="1"/>
        </w:numPr>
        <w:spacing w:after="120" w:line="360" w:lineRule="auto"/>
        <w:rPr>
          <w:rFonts w:ascii="宋体" w:hAnsi="宋体"/>
          <w:szCs w:val="21"/>
        </w:rPr>
      </w:pPr>
      <w:r>
        <w:rPr>
          <w:rFonts w:hint="eastAsia" w:ascii="宋体" w:hAnsi="宋体"/>
          <w:szCs w:val="21"/>
        </w:rPr>
        <w:t>采购项目技术参数见附件</w:t>
      </w:r>
    </w:p>
    <w:p>
      <w:pPr>
        <w:pStyle w:val="18"/>
        <w:ind w:firstLine="0" w:firstLineChars="0"/>
        <w:rPr>
          <w:rFonts w:ascii="宋体" w:hAnsi="宋体"/>
          <w:szCs w:val="21"/>
          <w:lang w:val="en-US"/>
        </w:rPr>
      </w:pPr>
    </w:p>
    <w:p>
      <w:pPr>
        <w:spacing w:after="120" w:line="360" w:lineRule="auto"/>
        <w:ind w:firstLine="5565" w:firstLineChars="2650"/>
        <w:rPr>
          <w:rFonts w:ascii="宋体" w:hAnsi="宋体"/>
          <w:szCs w:val="21"/>
        </w:rPr>
      </w:pPr>
    </w:p>
    <w:p>
      <w:pPr>
        <w:spacing w:after="120" w:line="360" w:lineRule="auto"/>
        <w:jc w:val="right"/>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rPr>
      </w:pPr>
      <w:r>
        <w:rPr>
          <w:rFonts w:hint="eastAsia" w:ascii="宋体" w:hAnsi="宋体"/>
          <w:szCs w:val="21"/>
        </w:rPr>
        <w:t>2022年6月11日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widowControl/>
        <w:jc w:val="center"/>
        <w:rPr>
          <w:rFonts w:ascii="宋体" w:hAnsi="宋体" w:cs="宋体"/>
          <w:b/>
          <w:bCs/>
          <w:color w:val="000000"/>
          <w:kern w:val="0"/>
          <w:sz w:val="28"/>
          <w:szCs w:val="28"/>
        </w:rPr>
      </w:pPr>
    </w:p>
    <w:p>
      <w:pPr>
        <w:pStyle w:val="18"/>
        <w:ind w:firstLine="0" w:firstLineChars="0"/>
        <w:rPr>
          <w:lang w:val="en-US"/>
        </w:rPr>
      </w:pPr>
    </w:p>
    <w:p>
      <w:pPr>
        <w:widowControl/>
        <w:jc w:val="center"/>
        <w:rPr>
          <w:rFonts w:ascii="宋体" w:hAnsi="宋体" w:cs="宋体"/>
          <w:b/>
          <w:bCs/>
          <w:color w:val="000000"/>
          <w:kern w:val="0"/>
          <w:sz w:val="28"/>
          <w:szCs w:val="28"/>
        </w:rPr>
      </w:pPr>
    </w:p>
    <w:p>
      <w:pPr>
        <w:pStyle w:val="2"/>
        <w:rPr>
          <w:rFonts w:ascii="宋体" w:hAnsi="宋体" w:cs="宋体"/>
          <w:b/>
          <w:bCs/>
          <w:color w:val="000000"/>
          <w:kern w:val="0"/>
          <w:sz w:val="28"/>
          <w:szCs w:val="28"/>
        </w:rPr>
      </w:pPr>
    </w:p>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第一章评审标准</w:t>
      </w:r>
    </w:p>
    <w:p>
      <w:pPr>
        <w:spacing w:line="360" w:lineRule="auto"/>
        <w:ind w:firstLine="420" w:firstLineChars="200"/>
        <w:rPr>
          <w:rFonts w:ascii="Arial" w:hAnsi="Arial" w:cs="Arial"/>
        </w:rPr>
      </w:pPr>
      <w:r>
        <w:rPr>
          <w:rFonts w:ascii="Arial" w:hAnsi="Arial" w:cs="Arial"/>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p>
      <w:pPr>
        <w:pStyle w:val="18"/>
        <w:ind w:firstLine="420"/>
        <w:rPr>
          <w:rFonts w:ascii="Arial" w:hAnsi="Arial" w:cs="Arial"/>
        </w:rPr>
      </w:pPr>
    </w:p>
    <w:p>
      <w:pPr>
        <w:pStyle w:val="18"/>
        <w:ind w:firstLine="420"/>
        <w:rPr>
          <w:rFonts w:ascii="Arial" w:hAnsi="Arial" w:cs="Arial"/>
        </w:rPr>
      </w:pPr>
    </w:p>
    <w:tbl>
      <w:tblPr>
        <w:tblStyle w:val="12"/>
        <w:tblW w:w="974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评分因素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940" w:firstLineChars="1400"/>
              <w:rPr>
                <w:rFonts w:ascii="宋体" w:hAnsi="宋体"/>
                <w:szCs w:val="21"/>
              </w:rPr>
            </w:pPr>
            <w:r>
              <w:rPr>
                <w:rFonts w:hint="eastAsia" w:ascii="宋体" w:hAnsi="宋体"/>
                <w:szCs w:val="21"/>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kern w:val="0"/>
                <w:szCs w:val="21"/>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Cs w:val="21"/>
              </w:rPr>
            </w:pPr>
            <w:r>
              <w:rPr>
                <w:rFonts w:hint="eastAsia" w:ascii="宋体" w:hAnsi="宋体" w:cs="宋体"/>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2.1</w:t>
            </w:r>
          </w:p>
        </w:tc>
        <w:tc>
          <w:tcPr>
            <w:tcW w:w="1103" w:type="dxa"/>
            <w:vMerge w:val="restart"/>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szCs w:val="21"/>
              </w:rPr>
              <w:t>投标文件技术参数完全符合招标文件要求得30分，</w:t>
            </w:r>
            <w:r>
              <w:rPr>
                <w:rFonts w:hint="eastAsia"/>
                <w:color w:val="000000"/>
              </w:rPr>
              <w:t>出现负偏离一项扣2分。扣完为止。</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2.2</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楷体_GB2312"/>
                <w:snapToGrid w:val="0"/>
                <w:kern w:val="0"/>
                <w:szCs w:val="21"/>
                <w:lang w:val="zh-CN"/>
              </w:rPr>
              <w:t>评标委员会对提交样品通过现场实际使用便捷度、安全防护、防渗漏、自毁功能的自动程度等为评审依据，使用便捷度、安全防护、防渗漏、自毁功能最优者得满分10分，比较好得7分，均一般得4分，均差得0分。（投标人需随投标文件一并提供不少于</w:t>
            </w:r>
            <w:r>
              <w:rPr>
                <w:rFonts w:ascii="宋体" w:hAnsi="宋体" w:cs="楷体_GB2312"/>
                <w:snapToGrid w:val="0"/>
                <w:kern w:val="0"/>
                <w:szCs w:val="21"/>
                <w:lang w:val="zh-CN"/>
              </w:rPr>
              <w:t>10</w:t>
            </w:r>
            <w:r>
              <w:rPr>
                <w:rFonts w:hint="eastAsia" w:ascii="宋体" w:hAnsi="宋体" w:cs="楷体_GB2312"/>
                <w:snapToGrid w:val="0"/>
                <w:kern w:val="0"/>
                <w:szCs w:val="21"/>
                <w:lang w:val="zh-CN"/>
              </w:rPr>
              <w:t>件所投注射器最小包装的样品，否则本项不得分）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2.3</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lang w:val="zh-CN"/>
              </w:rPr>
            </w:pPr>
            <w:r>
              <w:rPr>
                <w:rFonts w:hint="eastAsia" w:ascii="宋体" w:hAnsi="宋体" w:cs="楷体_GB2312"/>
                <w:snapToGrid w:val="0"/>
                <w:kern w:val="0"/>
                <w:szCs w:val="21"/>
                <w:lang w:val="zh-CN"/>
              </w:rPr>
              <w:t>评标委员会对提交样品的外观、包装材质、制造工艺、针筒外壁的</w:t>
            </w:r>
            <w:r>
              <w:rPr>
                <w:rFonts w:hint="eastAsia" w:ascii="宋体" w:hAnsi="宋体" w:cs="Arial"/>
                <w:snapToGrid w:val="0"/>
                <w:kern w:val="0"/>
                <w:szCs w:val="21"/>
              </w:rPr>
              <w:t>刻度精准度等</w:t>
            </w:r>
            <w:r>
              <w:rPr>
                <w:rFonts w:hint="eastAsia" w:ascii="宋体" w:hAnsi="宋体" w:cs="楷体_GB2312"/>
                <w:snapToGrid w:val="0"/>
                <w:kern w:val="0"/>
                <w:szCs w:val="21"/>
                <w:lang w:val="zh-CN"/>
              </w:rPr>
              <w:t>为评审依据，外观</w:t>
            </w:r>
            <w:r>
              <w:rPr>
                <w:rFonts w:hint="eastAsia" w:ascii="宋体" w:hAnsi="宋体" w:cs="Arial"/>
                <w:snapToGrid w:val="0"/>
                <w:kern w:val="0"/>
                <w:szCs w:val="21"/>
              </w:rPr>
              <w:t>标识印刷</w:t>
            </w:r>
            <w:r>
              <w:rPr>
                <w:rFonts w:hint="eastAsia" w:ascii="宋体" w:hAnsi="宋体" w:cs="楷体_GB2312"/>
                <w:snapToGrid w:val="0"/>
                <w:kern w:val="0"/>
                <w:szCs w:val="21"/>
                <w:lang w:val="zh-CN"/>
              </w:rPr>
              <w:t>、包装材质、制造工艺、针筒外壁的</w:t>
            </w:r>
            <w:r>
              <w:rPr>
                <w:rFonts w:hint="eastAsia" w:ascii="宋体" w:hAnsi="宋体" w:cs="Arial"/>
                <w:snapToGrid w:val="0"/>
                <w:kern w:val="0"/>
                <w:szCs w:val="21"/>
              </w:rPr>
              <w:t>刻度精准度</w:t>
            </w:r>
            <w:r>
              <w:rPr>
                <w:rFonts w:hint="eastAsia" w:ascii="宋体" w:hAnsi="宋体" w:cs="楷体_GB2312"/>
                <w:snapToGrid w:val="0"/>
                <w:kern w:val="0"/>
                <w:szCs w:val="21"/>
                <w:lang w:val="zh-CN"/>
              </w:rPr>
              <w:t>最优者得满分10分，比较好得7分，均一般得4分，均差得0分。（投标人需随投标文件一并提供不少于</w:t>
            </w:r>
            <w:r>
              <w:rPr>
                <w:rFonts w:ascii="宋体" w:hAnsi="宋体" w:cs="楷体_GB2312"/>
                <w:snapToGrid w:val="0"/>
                <w:kern w:val="0"/>
                <w:szCs w:val="21"/>
                <w:lang w:val="zh-CN"/>
              </w:rPr>
              <w:t>10</w:t>
            </w:r>
            <w:r>
              <w:rPr>
                <w:rFonts w:hint="eastAsia" w:ascii="宋体" w:hAnsi="宋体" w:cs="楷体_GB2312"/>
                <w:snapToGrid w:val="0"/>
                <w:kern w:val="0"/>
                <w:szCs w:val="21"/>
                <w:lang w:val="zh-CN"/>
              </w:rPr>
              <w:t>件所投注射器最小包装的样品，否则本项不得分）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3.1</w:t>
            </w:r>
          </w:p>
        </w:tc>
        <w:tc>
          <w:tcPr>
            <w:tcW w:w="1103" w:type="dxa"/>
            <w:vMerge w:val="restart"/>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ind w:left="107" w:leftChars="51" w:right="145" w:rightChars="69"/>
              <w:jc w:val="left"/>
              <w:rPr>
                <w:rFonts w:ascii="宋体" w:hAnsi="宋体" w:cs="楷体_GB2312"/>
                <w:snapToGrid w:val="0"/>
                <w:kern w:val="0"/>
                <w:szCs w:val="21"/>
                <w:lang w:val="zh-CN"/>
              </w:rPr>
            </w:pPr>
            <w:r>
              <w:rPr>
                <w:rFonts w:hint="eastAsia" w:ascii="宋体" w:hAnsi="宋体" w:cs="楷体_GB2312"/>
                <w:snapToGrid w:val="0"/>
                <w:kern w:val="0"/>
                <w:szCs w:val="21"/>
                <w:lang w:val="zh-CN"/>
              </w:rPr>
              <w:t>投标人售后服务方案中明确提供招标人注射器使用</w:t>
            </w:r>
            <w:r>
              <w:rPr>
                <w:rFonts w:ascii="宋体" w:hAnsi="宋体" w:cs="楷体_GB2312"/>
                <w:snapToGrid w:val="0"/>
                <w:kern w:val="0"/>
                <w:szCs w:val="21"/>
                <w:lang w:val="zh-CN"/>
              </w:rPr>
              <w:t>培训</w:t>
            </w:r>
            <w:r>
              <w:rPr>
                <w:rFonts w:hint="eastAsia" w:ascii="宋体" w:hAnsi="宋体" w:cs="楷体_GB2312"/>
                <w:snapToGrid w:val="0"/>
                <w:kern w:val="0"/>
                <w:szCs w:val="21"/>
                <w:lang w:val="zh-CN"/>
              </w:rPr>
              <w:t>并附有切实可行的实施计划、方案及配套保障措施的得</w:t>
            </w:r>
            <w:r>
              <w:rPr>
                <w:rFonts w:hint="eastAsia" w:ascii="宋体" w:hAnsi="宋体" w:cs="楷体_GB2312"/>
                <w:snapToGrid w:val="0"/>
                <w:kern w:val="0"/>
                <w:szCs w:val="21"/>
              </w:rPr>
              <w:t>2</w:t>
            </w:r>
            <w:r>
              <w:rPr>
                <w:rFonts w:hint="eastAsia" w:ascii="宋体" w:hAnsi="宋体" w:cs="楷体_GB2312"/>
                <w:snapToGrid w:val="0"/>
                <w:kern w:val="0"/>
                <w:szCs w:val="21"/>
                <w:lang w:val="zh-CN"/>
              </w:rPr>
              <w:t>分，否则不得分；</w:t>
            </w:r>
          </w:p>
          <w:p>
            <w:pPr>
              <w:spacing w:line="360" w:lineRule="auto"/>
              <w:rPr>
                <w:rFonts w:ascii="宋体" w:hAnsi="宋体"/>
                <w:szCs w:val="21"/>
              </w:rPr>
            </w:pPr>
            <w:r>
              <w:rPr>
                <w:rFonts w:hint="eastAsia" w:ascii="宋体" w:hAnsi="宋体" w:cs="楷体_GB2312"/>
                <w:snapToGrid w:val="0"/>
                <w:kern w:val="0"/>
                <w:szCs w:val="21"/>
                <w:lang w:val="zh-CN"/>
              </w:rPr>
              <w:t>投标人售后服务方案中明确提供</w:t>
            </w:r>
            <w:r>
              <w:rPr>
                <w:rFonts w:hint="eastAsia" w:ascii="宋体" w:hAnsi="宋体"/>
                <w:szCs w:val="21"/>
              </w:rPr>
              <w:t>破损、残次品</w:t>
            </w:r>
            <w:r>
              <w:rPr>
                <w:rFonts w:hint="eastAsia" w:ascii="宋体" w:hAnsi="宋体" w:cs="楷体_GB2312"/>
                <w:snapToGrid w:val="0"/>
                <w:kern w:val="0"/>
                <w:szCs w:val="21"/>
                <w:lang w:val="zh-CN"/>
              </w:rPr>
              <w:t>退换</w:t>
            </w:r>
            <w:r>
              <w:rPr>
                <w:rFonts w:hint="eastAsia" w:ascii="宋体" w:hAnsi="宋体"/>
                <w:szCs w:val="21"/>
              </w:rPr>
              <w:t>货</w:t>
            </w:r>
            <w:r>
              <w:rPr>
                <w:rFonts w:hint="eastAsia" w:ascii="宋体" w:hAnsi="宋体" w:cs="楷体_GB2312"/>
                <w:snapToGrid w:val="0"/>
                <w:kern w:val="0"/>
                <w:szCs w:val="21"/>
                <w:lang w:val="zh-CN"/>
              </w:rPr>
              <w:t>并附有切实可行的实施计划、方案及配套保障措施、赔偿方案的得</w:t>
            </w:r>
            <w:r>
              <w:rPr>
                <w:rFonts w:hint="eastAsia" w:ascii="宋体" w:hAnsi="宋体" w:cs="楷体_GB2312"/>
                <w:snapToGrid w:val="0"/>
                <w:kern w:val="0"/>
                <w:szCs w:val="21"/>
              </w:rPr>
              <w:t>2</w:t>
            </w:r>
            <w:r>
              <w:rPr>
                <w:rFonts w:hint="eastAsia" w:ascii="宋体" w:hAnsi="宋体" w:cs="楷体_GB2312"/>
                <w:snapToGrid w:val="0"/>
                <w:kern w:val="0"/>
                <w:szCs w:val="21"/>
                <w:lang w:val="zh-CN"/>
              </w:rPr>
              <w:t>分，否则不得分。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3.2</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宋体"/>
                <w:szCs w:val="21"/>
              </w:rPr>
            </w:pPr>
            <w:r>
              <w:rPr>
                <w:rFonts w:ascii="宋体" w:hAnsi="宋体"/>
                <w:szCs w:val="21"/>
              </w:rPr>
              <w:t>根据投标人提供的项目整体实施方案（包括项目组织实施、人员、</w:t>
            </w:r>
            <w:r>
              <w:rPr>
                <w:rFonts w:hint="eastAsia" w:ascii="宋体" w:hAnsi="宋体"/>
                <w:szCs w:val="21"/>
              </w:rPr>
              <w:t>产品</w:t>
            </w:r>
            <w:r>
              <w:rPr>
                <w:rFonts w:ascii="宋体" w:hAnsi="宋体"/>
                <w:szCs w:val="21"/>
              </w:rPr>
              <w:t>运输、</w:t>
            </w:r>
            <w:r>
              <w:rPr>
                <w:rFonts w:hint="eastAsia" w:ascii="宋体" w:hAnsi="宋体"/>
                <w:szCs w:val="21"/>
              </w:rPr>
              <w:t>配送、临床使用培训</w:t>
            </w:r>
            <w:r>
              <w:rPr>
                <w:rFonts w:ascii="宋体" w:hAnsi="宋体"/>
                <w:szCs w:val="21"/>
              </w:rPr>
              <w:t>等），内容是否详细、思路清晰、先进性等进行综合评分；整体实施方案完全满足或优于招标文件要求的</w:t>
            </w:r>
            <w:r>
              <w:rPr>
                <w:rFonts w:hint="eastAsia" w:ascii="宋体" w:hAnsi="宋体"/>
                <w:szCs w:val="21"/>
              </w:rPr>
              <w:t>4</w:t>
            </w:r>
            <w:r>
              <w:rPr>
                <w:rFonts w:ascii="宋体" w:hAnsi="宋体"/>
                <w:szCs w:val="21"/>
              </w:rPr>
              <w:t>分，基本满足要求的得</w:t>
            </w:r>
            <w:r>
              <w:rPr>
                <w:rFonts w:hint="eastAsia" w:ascii="宋体" w:hAnsi="宋体"/>
                <w:szCs w:val="21"/>
              </w:rPr>
              <w:t>2</w:t>
            </w:r>
            <w:r>
              <w:rPr>
                <w:rFonts w:ascii="宋体" w:hAnsi="宋体"/>
                <w:szCs w:val="21"/>
              </w:rPr>
              <w:t>分，部分满足的得1分，完全不满足或未提供整体项目实施方案的</w:t>
            </w:r>
            <w:r>
              <w:rPr>
                <w:rFonts w:hint="eastAsia" w:ascii="宋体" w:hAnsi="宋体"/>
                <w:szCs w:val="21"/>
              </w:rPr>
              <w:t>不得分</w:t>
            </w:r>
            <w:r>
              <w:rPr>
                <w:rFonts w:ascii="宋体" w:hAnsi="宋体"/>
                <w:szCs w:val="21"/>
              </w:rPr>
              <w:t>。</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szCs w:val="21"/>
              </w:rPr>
              <w:t>提供自2020年1月1日以来投标人完成的类似合同，</w:t>
            </w:r>
            <w:r>
              <w:rPr>
                <w:rFonts w:hint="eastAsia" w:ascii="宋体" w:hAnsi="宋体" w:cs="宋体"/>
                <w:szCs w:val="21"/>
              </w:rPr>
              <w:t>每提供一个得2分，满分10分。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5</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szCs w:val="21"/>
              </w:rPr>
              <w:t>投标产品属于财政部、国家发改委公布的“节能产品品目清单”范围内的，投标人提供国家确定的认证机构出具的、处于有效期之内的该节能产品认证证书得1分，否则不得分。</w:t>
            </w:r>
          </w:p>
          <w:p>
            <w:pPr>
              <w:spacing w:line="360" w:lineRule="auto"/>
              <w:rPr>
                <w:rFonts w:ascii="宋体" w:hAnsi="宋体"/>
                <w:szCs w:val="21"/>
              </w:rPr>
            </w:pPr>
            <w:r>
              <w:rPr>
                <w:rFonts w:hint="eastAsia" w:ascii="宋体" w:hAnsi="宋体"/>
                <w:szCs w:val="21"/>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100分</w:t>
            </w:r>
          </w:p>
        </w:tc>
      </w:tr>
    </w:tbl>
    <w:p>
      <w:pPr>
        <w:spacing w:line="360" w:lineRule="auto"/>
        <w:rPr>
          <w:rFonts w:ascii="Arial" w:hAnsi="Arial" w:cs="Arial"/>
          <w:b/>
          <w:sz w:val="22"/>
          <w:szCs w:val="28"/>
        </w:rPr>
      </w:pPr>
      <w:r>
        <w:rPr>
          <w:rFonts w:ascii="Arial" w:hAnsi="Arial" w:cs="Arial"/>
          <w:b/>
          <w:sz w:val="22"/>
          <w:szCs w:val="28"/>
        </w:rPr>
        <w:t>说明：所有认证、证明和业绩均以有效清晰的证明文件的复印件为依据，原件备查。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第二章   采购需求</w:t>
      </w:r>
    </w:p>
    <w:p>
      <w:pPr>
        <w:widowControl/>
        <w:shd w:val="clear" w:color="auto" w:fill="FFFFFF"/>
        <w:spacing w:line="360" w:lineRule="auto"/>
        <w:rPr>
          <w:rFonts w:ascii="宋体" w:hAnsi="宋体" w:cs="宋体"/>
          <w:b/>
          <w:spacing w:val="8"/>
          <w:kern w:val="0"/>
          <w:szCs w:val="21"/>
        </w:rPr>
      </w:pPr>
      <w:r>
        <w:rPr>
          <w:rFonts w:hint="eastAsia" w:ascii="宋体" w:hAnsi="宋体" w:cs="宋体"/>
          <w:b/>
          <w:spacing w:val="8"/>
          <w:kern w:val="0"/>
          <w:szCs w:val="21"/>
        </w:rPr>
        <w:t>一、项目基本情况</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1.1项目需求：南京市疾病预防控制中</w:t>
      </w:r>
      <w:r>
        <w:rPr>
          <w:rFonts w:hint="eastAsia" w:ascii="宋体" w:hAnsi="宋体"/>
          <w:szCs w:val="21"/>
        </w:rPr>
        <w:t>免疫规划疫苗用注射器进行</w:t>
      </w:r>
      <w:r>
        <w:rPr>
          <w:rFonts w:hint="eastAsia" w:asciiTheme="majorEastAsia" w:hAnsiTheme="majorEastAsia" w:eastAsiaTheme="majorEastAsia" w:cstheme="majorEastAsia"/>
          <w:spacing w:val="8"/>
          <w:szCs w:val="21"/>
        </w:rPr>
        <w:t>招标采购，项目采用综合打分法，现欢迎符合相关条件的供应商参加投标。</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1.2项目名称：南京市疾病预防控制中</w:t>
      </w:r>
      <w:r>
        <w:rPr>
          <w:rFonts w:hint="eastAsia" w:ascii="宋体" w:hAnsi="宋体"/>
          <w:szCs w:val="21"/>
        </w:rPr>
        <w:t>免疫规划疫苗用注射器进行</w:t>
      </w:r>
      <w:r>
        <w:rPr>
          <w:rFonts w:hint="eastAsia" w:asciiTheme="majorEastAsia" w:hAnsiTheme="majorEastAsia" w:eastAsiaTheme="majorEastAsia" w:cstheme="majorEastAsia"/>
          <w:spacing w:val="8"/>
          <w:szCs w:val="21"/>
        </w:rPr>
        <w:t>招标采购</w:t>
      </w:r>
    </w:p>
    <w:p>
      <w:pPr>
        <w:keepNext w:val="0"/>
        <w:keepLines w:val="0"/>
        <w:pageBreakBefore w:val="0"/>
        <w:widowControl w:val="0"/>
        <w:shd w:val="clear" w:color="auto" w:fill="FFFFFF" w:themeFill="background1"/>
        <w:kinsoku/>
        <w:wordWrap/>
        <w:overflowPunct/>
        <w:topLinePunct w:val="0"/>
        <w:autoSpaceDE/>
        <w:autoSpaceDN/>
        <w:bidi w:val="0"/>
        <w:spacing w:before="157" w:beforeLines="50" w:after="157" w:afterLines="50" w:line="360" w:lineRule="auto"/>
        <w:ind w:firstLine="370"/>
        <w:textAlignment w:val="auto"/>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 xml:space="preserve">1.3设备采购配置及预算金额：  6   万元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0.1</w:t>
      </w:r>
      <w:r>
        <w:rPr>
          <w:rFonts w:ascii="宋体" w:hAnsi="宋体"/>
          <w:snapToGrid w:val="0"/>
          <w:kern w:val="0"/>
          <w:szCs w:val="21"/>
        </w:rPr>
        <w:t>ml</w:t>
      </w:r>
      <w:r>
        <w:rPr>
          <w:rFonts w:hint="eastAsia" w:ascii="宋体" w:hAnsi="宋体"/>
          <w:snapToGrid w:val="0"/>
          <w:kern w:val="0"/>
          <w:szCs w:val="21"/>
        </w:rPr>
        <w:t>自毁型注射器</w:t>
      </w:r>
      <w:r>
        <w:rPr>
          <w:rFonts w:hint="eastAsia" w:ascii="宋体" w:hAnsi="宋体"/>
          <w:snapToGrid w:val="0"/>
          <w:kern w:val="0"/>
          <w:szCs w:val="21"/>
          <w:lang w:val="en-US" w:eastAsia="zh-CN"/>
        </w:rPr>
        <w:t>14</w:t>
      </w:r>
      <w:r>
        <w:rPr>
          <w:rFonts w:ascii="宋体" w:hAnsi="宋体"/>
          <w:bCs/>
          <w:snapToGrid w:val="0"/>
          <w:kern w:val="0"/>
          <w:szCs w:val="21"/>
        </w:rPr>
        <w:t>万支</w:t>
      </w:r>
    </w:p>
    <w:p>
      <w:pPr>
        <w:autoSpaceDE w:val="0"/>
        <w:autoSpaceDN w:val="0"/>
        <w:adjustRightInd w:val="0"/>
        <w:spacing w:line="360" w:lineRule="auto"/>
        <w:rPr>
          <w:rFonts w:ascii="宋体" w:hAnsi="宋体" w:cs="宋体"/>
          <w:szCs w:val="21"/>
        </w:rPr>
      </w:pPr>
      <w:r>
        <w:rPr>
          <w:rFonts w:hint="eastAsia" w:ascii="宋体" w:hAnsi="宋体" w:cs="宋体"/>
          <w:szCs w:val="21"/>
        </w:rPr>
        <w:t xml:space="preserve"> 1.4 不接受进口设备投标</w:t>
      </w:r>
    </w:p>
    <w:p>
      <w:pPr>
        <w:autoSpaceDE w:val="0"/>
        <w:autoSpaceDN w:val="0"/>
        <w:adjustRightInd w:val="0"/>
        <w:spacing w:line="360" w:lineRule="auto"/>
        <w:ind w:firstLine="210" w:firstLineChars="100"/>
        <w:rPr>
          <w:rFonts w:hint="eastAsia" w:ascii="宋体" w:hAnsi="宋体" w:cs="宋体"/>
          <w:spacing w:val="8"/>
          <w:kern w:val="0"/>
          <w:szCs w:val="21"/>
        </w:rPr>
      </w:pPr>
      <w:r>
        <w:rPr>
          <w:rFonts w:hint="eastAsia" w:ascii="宋体" w:hAnsi="宋体" w:cs="宋体"/>
          <w:szCs w:val="21"/>
        </w:rPr>
        <w:t>1.5</w:t>
      </w:r>
      <w:r>
        <w:rPr>
          <w:rFonts w:hint="eastAsia" w:ascii="宋体" w:hAnsi="宋体" w:cs="宋体"/>
          <w:spacing w:val="8"/>
          <w:kern w:val="0"/>
          <w:szCs w:val="21"/>
        </w:rPr>
        <w:t>合同履行期限：合同签订</w:t>
      </w:r>
      <w:r>
        <w:rPr>
          <w:rFonts w:hint="eastAsia" w:ascii="宋体" w:hAnsi="宋体" w:cs="宋体"/>
          <w:spacing w:val="8"/>
          <w:kern w:val="0"/>
          <w:szCs w:val="21"/>
          <w:highlight w:val="none"/>
        </w:rPr>
        <w:t>之日起十五日内完成送货</w:t>
      </w:r>
    </w:p>
    <w:p>
      <w:pPr>
        <w:pStyle w:val="2"/>
        <w:ind w:left="1260"/>
      </w:pPr>
    </w:p>
    <w:p>
      <w:pPr>
        <w:pStyle w:val="18"/>
        <w:numPr>
          <w:ilvl w:val="0"/>
          <w:numId w:val="4"/>
        </w:numPr>
        <w:ind w:firstLine="0" w:firstLineChars="0"/>
        <w:rPr>
          <w:b/>
          <w:szCs w:val="21"/>
        </w:rPr>
      </w:pPr>
      <w:r>
        <w:rPr>
          <w:rFonts w:hint="eastAsia"/>
          <w:b/>
          <w:szCs w:val="21"/>
        </w:rPr>
        <w:t xml:space="preserve">  </w:t>
      </w:r>
      <w:bookmarkStart w:id="0" w:name="_Toc49158392"/>
      <w:r>
        <w:rPr>
          <w:b/>
          <w:szCs w:val="21"/>
        </w:rPr>
        <w:t>0.1ml</w:t>
      </w:r>
      <w:r>
        <w:rPr>
          <w:rFonts w:hint="eastAsia"/>
          <w:b/>
          <w:szCs w:val="21"/>
        </w:rPr>
        <w:t>自毁型注射器</w:t>
      </w:r>
      <w:bookmarkEnd w:id="0"/>
      <w:r>
        <w:rPr>
          <w:rFonts w:hint="eastAsia"/>
          <w:b/>
          <w:szCs w:val="21"/>
        </w:rPr>
        <w:t>技术参数要求</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1、针头：0.</w:t>
      </w:r>
      <w:r>
        <w:rPr>
          <w:rFonts w:hint="eastAsia" w:ascii="宋体" w:hAnsi="宋体"/>
          <w:snapToGrid w:val="0"/>
          <w:kern w:val="0"/>
          <w:szCs w:val="21"/>
          <w:lang w:val="en-US" w:eastAsia="zh-CN"/>
        </w:rPr>
        <w:t>4</w:t>
      </w:r>
      <w:r>
        <w:rPr>
          <w:rFonts w:hint="eastAsia" w:ascii="宋体" w:hAnsi="宋体"/>
          <w:snapToGrid w:val="0"/>
          <w:kern w:val="0"/>
          <w:szCs w:val="21"/>
        </w:rPr>
        <w:t>5*10mmTWLB，带针头帽，针头固定于针筒，不可移动，也不可拆卸。针尖应锋利，不得有毛边、毛刺，穿刺力应符合有关标准（</w:t>
      </w:r>
      <w:r>
        <w:rPr>
          <w:rFonts w:hint="eastAsia" w:ascii="宋体" w:hAnsi="宋体"/>
          <w:snapToGrid w:val="0"/>
          <w:kern w:val="0"/>
          <w:szCs w:val="21"/>
          <w:lang w:val="en-US" w:eastAsia="zh-CN"/>
        </w:rPr>
        <w:t>YY/T0573.3-2019</w:t>
      </w:r>
      <w:r>
        <w:rPr>
          <w:rFonts w:hint="eastAsia" w:ascii="宋体" w:hAnsi="宋体"/>
          <w:snapToGrid w:val="0"/>
          <w:kern w:val="0"/>
          <w:szCs w:val="21"/>
        </w:rPr>
        <w:t>）；</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2、针头应有一定的硬度，不得过软和超过国家标准的弯曲度（材质硬度：维氏（HV）150-600度以上）；</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3、自毁功能：符合世界卫生组织标准，当注射器完成疫苗的稀释、注射后，完全自动丧失其使用功能；</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4、最大容量：相应规格+10%；</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5、刻度：只允许两个刻度，0和0.1ml；</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6、渗漏：在规定的标准负压作用下保持5-6分钟，外套与活塞接触部位不得产生漏气现象，且活塞与芯杆不得脱离；</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7、死腔：最大残留量≤15微升；</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8、排气：在吸入疫苗时带入的气泡应易于排出；</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9、注射器不得有毛边、毛刺、塑流、缺损等缺陷；</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10、透明度：按标准乳白色分级，应为3级，能清晰地看到基准线、刻度线；</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11、注射器的内表面（包括橡胶活塞），不得有明显可见的润滑剂汇聚；</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12、制作注射器的针筒及活塞的材料应为可燃的，并在燃烧时不产生、释放有毒的物体，不含天然橡胶。</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13、有明确的剂量刻度标识，保证吸取准确剂量的稀释液，从而保证疫苗的精确浓度；</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14、单支注射器包装和灭菌：符合国家规定的标准且单支为吸塑小包装。经环氧乙烷灭菌，环氧乙烷的残留量应不大于10微克/克，产品无菌、无热原、无溶血作用，具有良好的滑动性能和密封性。</w:t>
      </w:r>
    </w:p>
    <w:p>
      <w:pPr>
        <w:keepNext w:val="0"/>
        <w:keepLines w:val="0"/>
        <w:pageBreakBefore w:val="0"/>
        <w:widowControl/>
        <w:kinsoku/>
        <w:wordWrap/>
        <w:overflowPunct/>
        <w:topLinePunct w:val="0"/>
        <w:autoSpaceDE/>
        <w:autoSpaceDN/>
        <w:bidi w:val="0"/>
        <w:spacing w:before="157" w:beforeLines="50" w:after="157" w:afterLines="50" w:line="360" w:lineRule="auto"/>
        <w:ind w:firstLine="315" w:firstLineChars="150"/>
        <w:jc w:val="left"/>
        <w:textAlignment w:val="auto"/>
        <w:rPr>
          <w:rFonts w:ascii="宋体" w:hAnsi="宋体"/>
          <w:snapToGrid w:val="0"/>
          <w:kern w:val="0"/>
          <w:szCs w:val="21"/>
        </w:rPr>
      </w:pPr>
      <w:r>
        <w:rPr>
          <w:rFonts w:hint="eastAsia" w:ascii="宋体" w:hAnsi="宋体"/>
          <w:snapToGrid w:val="0"/>
          <w:kern w:val="0"/>
          <w:szCs w:val="21"/>
        </w:rPr>
        <w:t>15、有效期：货物到达交货地点应具有30月以上的产品有效期。</w:t>
      </w:r>
    </w:p>
    <w:p>
      <w:pPr>
        <w:spacing w:line="360" w:lineRule="auto"/>
        <w:rPr>
          <w:rFonts w:ascii="宋体" w:hAnsi="宋体"/>
          <w:b/>
          <w:szCs w:val="21"/>
        </w:rPr>
      </w:pPr>
      <w:r>
        <w:rPr>
          <w:rFonts w:hint="eastAsia" w:ascii="宋体" w:hAnsi="宋体"/>
          <w:b/>
          <w:szCs w:val="21"/>
        </w:rPr>
        <w:t>三、商务部分要求：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360" w:lineRule="auto"/>
        <w:ind w:firstLine="420"/>
        <w:rPr>
          <w:rFonts w:ascii="宋体" w:hAnsi="宋体"/>
          <w:szCs w:val="21"/>
        </w:rPr>
      </w:pPr>
      <w:r>
        <w:rPr>
          <w:rFonts w:hint="eastAsia" w:ascii="宋体" w:hAnsi="宋体"/>
          <w:szCs w:val="21"/>
        </w:rPr>
        <w:t>1、交货：合同签订之</w:t>
      </w:r>
      <w:r>
        <w:rPr>
          <w:rFonts w:hint="eastAsia" w:ascii="宋体" w:hAnsi="宋体"/>
          <w:szCs w:val="21"/>
          <w:highlight w:val="none"/>
        </w:rPr>
        <w:t>日起十五日内完成送货（不</w:t>
      </w:r>
      <w:r>
        <w:rPr>
          <w:rFonts w:hint="eastAsia" w:ascii="宋体" w:hAnsi="宋体"/>
          <w:szCs w:val="21"/>
        </w:rPr>
        <w:t>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spacing w:line="360" w:lineRule="auto"/>
        <w:ind w:firstLine="420" w:firstLineChars="200"/>
        <w:rPr>
          <w:rFonts w:ascii="宋体" w:hAnsi="宋体"/>
          <w:szCs w:val="21"/>
        </w:rPr>
      </w:pPr>
      <w:r>
        <w:rPr>
          <w:rFonts w:hint="eastAsia" w:ascii="宋体" w:hAnsi="宋体"/>
          <w:szCs w:val="21"/>
        </w:rPr>
        <w:t>2、供应商提供的货物（含配件）应是全新的、未使用过的原装合格正品，并保证所提供货物的开箱合格率为</w:t>
      </w:r>
      <w:r>
        <w:rPr>
          <w:rFonts w:ascii="宋体" w:hAnsi="宋体"/>
          <w:szCs w:val="21"/>
        </w:rPr>
        <w:t>100%</w:t>
      </w:r>
      <w:r>
        <w:rPr>
          <w:rFonts w:hint="eastAsia" w:ascii="宋体" w:hAnsi="宋体"/>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2"/>
        <w:ind w:left="0" w:leftChars="0"/>
      </w:pP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snapToGrid w:val="0"/>
          <w:kern w:val="0"/>
          <w:szCs w:val="21"/>
        </w:rPr>
        <w:t>项目完成后，甲方应在</w:t>
      </w:r>
      <w:r>
        <w:rPr>
          <w:rFonts w:ascii="宋体" w:hAnsi="宋体"/>
          <w:snapToGrid w:val="0"/>
          <w:kern w:val="0"/>
          <w:szCs w:val="21"/>
        </w:rPr>
        <w:t>3</w:t>
      </w:r>
      <w:r>
        <w:rPr>
          <w:rFonts w:hint="eastAsia" w:ascii="宋体" w:hAnsi="宋体"/>
          <w:snapToGrid w:val="0"/>
          <w:kern w:val="0"/>
          <w:szCs w:val="21"/>
        </w:rPr>
        <w:t>个工作日内对项目的有关质量、规格、数量或重量进行外观验收，经甲方确认后，甲方出具外观验收合格证明给乙方。如因包装不当等造成产品质量下降或破损、缺件等，乙方应立即给予修正或提货，直至达到合同规定标准。验收过程汇总发现产品有次品、损坏或其他不符合标准及本合同规定之情形者，乙方应负责三包（包修、包换、包退），费用由乙方承担，甲方有权到乙方生产场地检查货物质量和生产进度。同时，甲方应做出详尽的现场记录，或者甲乙双方签署备忘录，此现场记录或备忘录可用作补充、缺失和更换损坏部件的有效证据，由此产生的时间延误与有关费用由乙方承担，验收期限相应顺延。</w:t>
      </w:r>
    </w:p>
    <w:p>
      <w:pPr>
        <w:widowControl/>
        <w:spacing w:line="360" w:lineRule="auto"/>
        <w:ind w:firstLine="405"/>
        <w:jc w:val="left"/>
        <w:rPr>
          <w:rFonts w:ascii="宋体" w:hAnsi="宋体"/>
          <w:szCs w:val="21"/>
        </w:rPr>
      </w:pPr>
      <w:r>
        <w:rPr>
          <w:rFonts w:hint="eastAsia" w:ascii="宋体" w:hAnsi="宋体"/>
          <w:szCs w:val="21"/>
        </w:rPr>
        <w:t>4、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pPr>
        <w:spacing w:line="360" w:lineRule="auto"/>
        <w:ind w:firstLine="420" w:firstLineChars="200"/>
        <w:rPr>
          <w:rFonts w:ascii="宋体" w:hAnsi="宋体"/>
          <w:szCs w:val="21"/>
        </w:rPr>
      </w:pPr>
      <w:r>
        <w:rPr>
          <w:rFonts w:hint="eastAsia" w:ascii="宋体" w:hAnsi="宋体"/>
          <w:szCs w:val="21"/>
        </w:rPr>
        <w:t>5、免费为用户提供培训（含培训资料等）。</w:t>
      </w:r>
    </w:p>
    <w:p>
      <w:pPr>
        <w:widowControl/>
        <w:spacing w:line="360" w:lineRule="auto"/>
        <w:ind w:firstLine="405"/>
        <w:jc w:val="left"/>
        <w:rPr>
          <w:rFonts w:ascii="宋体" w:hAnsi="宋体"/>
          <w:szCs w:val="21"/>
        </w:rPr>
      </w:pPr>
      <w:r>
        <w:rPr>
          <w:rFonts w:hint="eastAsia" w:ascii="宋体" w:hAnsi="宋体"/>
          <w:szCs w:val="21"/>
        </w:rPr>
        <w:t>6、采购人使用该货物的任何一部分，当受第三方提出的侵犯其专利权、商标权或工业设计权的投诉时，一切后果由供应商负责。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Cs w:val="21"/>
        </w:rPr>
      </w:pPr>
      <w:r>
        <w:rPr>
          <w:rFonts w:hint="eastAsia" w:ascii="宋体" w:hAnsi="宋体"/>
          <w:b/>
          <w:szCs w:val="21"/>
        </w:rPr>
        <w:t>（二）、安装要求</w:t>
      </w:r>
    </w:p>
    <w:p>
      <w:pPr>
        <w:widowControl/>
        <w:spacing w:line="360" w:lineRule="auto"/>
        <w:ind w:firstLine="405"/>
        <w:jc w:val="left"/>
        <w:rPr>
          <w:rFonts w:ascii="宋体" w:hAnsi="宋体"/>
          <w:szCs w:val="21"/>
        </w:rPr>
      </w:pPr>
      <w:r>
        <w:rPr>
          <w:rFonts w:hint="eastAsia" w:ascii="宋体" w:hAnsi="宋体"/>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Cs w:val="21"/>
        </w:rPr>
      </w:pPr>
      <w:r>
        <w:rPr>
          <w:rFonts w:hint="eastAsia" w:ascii="宋体" w:hAnsi="宋体"/>
          <w:szCs w:val="21"/>
        </w:rPr>
        <w:t>2、供应商负责派</w:t>
      </w:r>
      <w:r>
        <w:rPr>
          <w:rFonts w:hint="eastAsia" w:ascii="宋体" w:hAnsi="宋体"/>
          <w:b/>
          <w:bCs/>
          <w:szCs w:val="21"/>
        </w:rPr>
        <w:t>原厂技术人员</w:t>
      </w:r>
      <w:r>
        <w:rPr>
          <w:rFonts w:hint="eastAsia" w:ascii="宋体" w:hAnsi="宋体"/>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ascii="宋体" w:hAnsi="宋体"/>
          <w:szCs w:val="21"/>
        </w:rPr>
      </w:pPr>
      <w:r>
        <w:rPr>
          <w:rFonts w:hint="eastAsia" w:ascii="宋体" w:hAnsi="宋体"/>
          <w:szCs w:val="21"/>
        </w:rPr>
        <w:t>3、验收：由供应商、使用科室、验收科室三方在场共同验收。</w:t>
      </w:r>
    </w:p>
    <w:p>
      <w:pPr>
        <w:widowControl/>
        <w:spacing w:line="360" w:lineRule="auto"/>
        <w:ind w:firstLine="405"/>
        <w:jc w:val="left"/>
        <w:rPr>
          <w:rFonts w:ascii="宋体" w:hAnsi="宋体"/>
          <w:szCs w:val="21"/>
        </w:rPr>
      </w:pPr>
      <w:r>
        <w:rPr>
          <w:rFonts w:hint="eastAsia" w:ascii="宋体" w:hAnsi="宋体"/>
          <w:szCs w:val="21"/>
        </w:rPr>
        <w:t>（三）、服务要求</w:t>
      </w:r>
    </w:p>
    <w:p>
      <w:pPr>
        <w:widowControl/>
        <w:spacing w:line="360" w:lineRule="auto"/>
        <w:ind w:firstLine="405"/>
        <w:jc w:val="left"/>
        <w:rPr>
          <w:rFonts w:ascii="宋体" w:hAnsi="宋体"/>
          <w:szCs w:val="21"/>
        </w:rPr>
      </w:pPr>
      <w:r>
        <w:rPr>
          <w:rFonts w:hint="eastAsia" w:ascii="宋体" w:hAnsi="宋体"/>
          <w:szCs w:val="21"/>
        </w:rPr>
        <w:t>1、供应商报价时须承诺所供货物</w:t>
      </w:r>
      <w:r>
        <w:rPr>
          <w:rFonts w:hint="eastAsia" w:asciiTheme="minorEastAsia" w:hAnsiTheme="minorEastAsia"/>
          <w:szCs w:val="21"/>
          <w:highlight w:val="none"/>
        </w:rPr>
        <w:t>免费质保期为一年，</w:t>
      </w:r>
      <w:r>
        <w:rPr>
          <w:rFonts w:hint="eastAsia" w:ascii="宋体" w:hAnsi="宋体"/>
          <w:szCs w:val="21"/>
        </w:rPr>
        <w:t>（自验收报告签字确认日起，开始进入质保期），质保期内、外承诺货物均由原厂技术人员进行维护保养。</w:t>
      </w:r>
    </w:p>
    <w:p>
      <w:pPr>
        <w:widowControl/>
        <w:spacing w:line="360" w:lineRule="auto"/>
        <w:ind w:firstLine="405"/>
        <w:jc w:val="left"/>
        <w:rPr>
          <w:rFonts w:ascii="宋体" w:hAnsi="宋体"/>
          <w:szCs w:val="21"/>
        </w:rPr>
      </w:pPr>
      <w:r>
        <w:rPr>
          <w:rFonts w:hint="eastAsia" w:ascii="宋体" w:hAnsi="宋体"/>
          <w:szCs w:val="21"/>
        </w:rPr>
        <w:t>2、故障响应时间：在保修期内有问题做到及时处理，出现质量问题时或故障时，响应时间为4小时，遇到紧急突发事件远程无法解决，工程师应在8小时内到达现场并排除故障。</w:t>
      </w:r>
    </w:p>
    <w:p>
      <w:pPr>
        <w:widowControl/>
        <w:spacing w:line="360" w:lineRule="auto"/>
        <w:ind w:firstLine="405"/>
        <w:jc w:val="left"/>
        <w:rPr>
          <w:rFonts w:ascii="宋体" w:hAnsi="宋体"/>
          <w:szCs w:val="21"/>
        </w:rPr>
      </w:pPr>
      <w:r>
        <w:rPr>
          <w:rFonts w:hint="eastAsia" w:ascii="宋体" w:hAnsi="宋体"/>
          <w:szCs w:val="21"/>
        </w:rPr>
        <w:t>3、质保期内如同一故障发生三次，或在2月内无法修复，供应商无条件换货，立即更换新机。终生提供免费维护和保养服务（免收人工费），质保期后零配件、耗材在成本费的基础上按承诺优惠率收取。</w:t>
      </w:r>
    </w:p>
    <w:p>
      <w:pPr>
        <w:widowControl/>
        <w:spacing w:line="360" w:lineRule="auto"/>
        <w:ind w:firstLine="405"/>
        <w:jc w:val="left"/>
        <w:rPr>
          <w:rFonts w:ascii="宋体" w:hAnsi="宋体"/>
          <w:szCs w:val="21"/>
        </w:rPr>
      </w:pPr>
      <w:r>
        <w:rPr>
          <w:rFonts w:hint="eastAsia" w:ascii="宋体" w:hAnsi="宋体"/>
          <w:szCs w:val="21"/>
        </w:rPr>
        <w:t>（四）、其他要求</w:t>
      </w:r>
    </w:p>
    <w:p>
      <w:pPr>
        <w:widowControl/>
        <w:spacing w:line="360" w:lineRule="auto"/>
        <w:ind w:firstLine="405"/>
        <w:jc w:val="left"/>
        <w:rPr>
          <w:rFonts w:ascii="宋体" w:hAnsi="宋体"/>
          <w:szCs w:val="21"/>
        </w:rPr>
      </w:pPr>
      <w:r>
        <w:rPr>
          <w:rFonts w:hint="eastAsia" w:ascii="宋体" w:hAnsi="宋体"/>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Cs w:val="21"/>
        </w:rPr>
      </w:pPr>
      <w:r>
        <w:rPr>
          <w:rFonts w:hint="eastAsia" w:ascii="宋体" w:hAnsi="宋体"/>
          <w:szCs w:val="21"/>
        </w:rPr>
        <w:t>2、设备必须为全新正品行货和正版软件，供货前必须提供</w:t>
      </w:r>
      <w:r>
        <w:rPr>
          <w:rFonts w:ascii="宋体" w:hAnsi="宋体"/>
          <w:szCs w:val="21"/>
        </w:rPr>
        <w:t>设备</w:t>
      </w:r>
      <w:r>
        <w:rPr>
          <w:rFonts w:hint="eastAsia" w:ascii="宋体" w:hAnsi="宋体"/>
          <w:szCs w:val="21"/>
        </w:rPr>
        <w:t>原厂商出具的针对本项目的质保函或全国质保三包凭证，不能提供相关证明材料合同不予签订。</w:t>
      </w:r>
    </w:p>
    <w:p>
      <w:pPr>
        <w:widowControl/>
        <w:spacing w:line="360" w:lineRule="auto"/>
        <w:ind w:firstLine="405"/>
        <w:jc w:val="left"/>
        <w:rPr>
          <w:rFonts w:ascii="宋体" w:hAnsi="宋体"/>
          <w:szCs w:val="21"/>
        </w:rPr>
      </w:pPr>
      <w:r>
        <w:rPr>
          <w:rFonts w:hint="eastAsia" w:ascii="宋体" w:hAnsi="宋体"/>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Cs w:val="21"/>
        </w:rPr>
      </w:pPr>
      <w:r>
        <w:rPr>
          <w:rFonts w:hint="eastAsia" w:ascii="宋体" w:hAnsi="宋体"/>
          <w:b/>
          <w:szCs w:val="21"/>
        </w:rPr>
        <w:t>（五）付款条件：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货到、验收合格后</w:t>
      </w:r>
      <w:r>
        <w:rPr>
          <w:rFonts w:hint="eastAsia" w:ascii="宋体" w:hAnsi="宋体"/>
          <w:szCs w:val="21"/>
          <w:lang w:eastAsia="zh-CN"/>
        </w:rPr>
        <w:t>，</w:t>
      </w:r>
      <w:r>
        <w:rPr>
          <w:rFonts w:hint="eastAsia" w:ascii="宋体" w:hAnsi="宋体"/>
          <w:szCs w:val="21"/>
          <w:lang w:val="en-US" w:eastAsia="zh-CN"/>
        </w:rPr>
        <w:t xml:space="preserve"> 按实际到货数量</w:t>
      </w:r>
      <w:r>
        <w:rPr>
          <w:rFonts w:hint="eastAsia" w:ascii="宋体" w:hAnsi="宋体"/>
          <w:szCs w:val="21"/>
        </w:rPr>
        <w:t>付清货款。</w:t>
      </w:r>
      <w:bookmarkStart w:id="1" w:name="_Toc43902852"/>
    </w:p>
    <w:bookmarkEnd w:id="1"/>
    <w:p>
      <w:pPr>
        <w:rPr>
          <w:rFonts w:ascii="Arial" w:hAnsi="Arial" w:cs="Arial"/>
        </w:rPr>
      </w:pPr>
    </w:p>
    <w:p>
      <w:pPr>
        <w:widowControl/>
        <w:jc w:val="center"/>
        <w:rPr>
          <w:rFonts w:ascii="宋体" w:hAnsi="宋体" w:cs="宋体"/>
          <w:b/>
          <w:color w:val="000000"/>
          <w:kern w:val="0"/>
          <w:sz w:val="43"/>
          <w:szCs w:val="43"/>
        </w:rPr>
      </w:pPr>
    </w:p>
    <w:p>
      <w:pPr>
        <w:widowControl/>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rPr>
          <w:rFonts w:asciiTheme="minorEastAsia" w:hAnsiTheme="minorEastAsia"/>
          <w:sz w:val="28"/>
          <w:szCs w:val="28"/>
        </w:rPr>
      </w:pPr>
    </w:p>
    <w:p>
      <w:pPr>
        <w:rPr>
          <w:rFonts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甲、乙双方根据《合同法》和其它相关法律、法规，就“”采购项目事宜达成一致，订立本协议。</w:t>
      </w:r>
    </w:p>
    <w:p>
      <w:pPr>
        <w:spacing w:line="500" w:lineRule="exact"/>
        <w:rPr>
          <w:color w:val="000000"/>
          <w:szCs w:val="21"/>
          <w:lang w:val="zh-CN"/>
        </w:rPr>
      </w:pPr>
      <w:r>
        <w:rPr>
          <w:rFonts w:hAnsi="宋体"/>
          <w:b/>
          <w:bCs/>
          <w:color w:val="000000"/>
          <w:szCs w:val="21"/>
          <w:lang w:val="zh-CN"/>
        </w:rPr>
        <w:t xml:space="preserve">第一条合同标的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int="eastAsia" w:hAnsi="宋体"/>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ascii="宋体" w:hAnsi="宋体"/>
          <w:szCs w:val="21"/>
        </w:rPr>
        <w:t>货到、验收合格后</w:t>
      </w:r>
      <w:r>
        <w:rPr>
          <w:rFonts w:hint="eastAsia" w:ascii="宋体" w:hAnsi="宋体"/>
          <w:szCs w:val="21"/>
          <w:lang w:eastAsia="zh-CN"/>
        </w:rPr>
        <w:t>，</w:t>
      </w:r>
      <w:r>
        <w:rPr>
          <w:rFonts w:hint="eastAsia" w:ascii="宋体" w:hAnsi="宋体"/>
          <w:szCs w:val="21"/>
          <w:lang w:val="en-US" w:eastAsia="zh-CN"/>
        </w:rPr>
        <w:t xml:space="preserve"> 按实际到货数量</w:t>
      </w:r>
      <w:r>
        <w:rPr>
          <w:rFonts w:hint="eastAsia" w:ascii="宋体" w:hAnsi="宋体"/>
          <w:szCs w:val="21"/>
        </w:rPr>
        <w:t>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甲方：                           乙方：</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（公章）                         （公章）</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法定代表人（授权代表人）：        法定代表人（授权代表人）：</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日期：    年   月   日    </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widowControl/>
        <w:jc w:val="left"/>
      </w:pPr>
      <w:r>
        <w:rPr>
          <w:rFonts w:hint="eastAsia" w:ascii="宋体" w:hAnsi="宋体" w:cs="宋体"/>
          <w:color w:val="000000"/>
          <w:kern w:val="0"/>
          <w:sz w:val="28"/>
          <w:szCs w:val="28"/>
        </w:rPr>
        <w:t xml:space="preserve">注：请供应商按照以下文件的要求格式、内容，顺序制作响应文件。 </w:t>
      </w:r>
    </w:p>
    <w:p>
      <w:pPr>
        <w:pStyle w:val="6"/>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18"/>
        <w:ind w:firstLine="420"/>
      </w:pPr>
    </w:p>
    <w:p>
      <w:pPr>
        <w:widowControl/>
        <w:rPr>
          <w:rFonts w:ascii="宋体" w:hAnsi="宋体" w:cs="宋体"/>
          <w:color w:val="000000"/>
          <w:kern w:val="0"/>
          <w:sz w:val="84"/>
          <w:szCs w:val="84"/>
        </w:rPr>
      </w:pPr>
    </w:p>
    <w:p>
      <w:pPr>
        <w:pStyle w:val="18"/>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p>
    <w:p>
      <w:pPr>
        <w:widowControl/>
        <w:jc w:val="left"/>
      </w:pPr>
      <w:r>
        <w:rPr>
          <w:rFonts w:hint="eastAsia" w:ascii="黑体" w:hAnsi="宋体" w:eastAsia="黑体" w:cs="黑体"/>
          <w:color w:val="000000"/>
          <w:kern w:val="0"/>
          <w:sz w:val="28"/>
          <w:szCs w:val="28"/>
        </w:rPr>
        <w:t>（项目名称）</w:t>
      </w:r>
    </w:p>
    <w:p>
      <w:pPr>
        <w:widowControl/>
        <w:jc w:val="left"/>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pStyle w:val="18"/>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spacing w:line="440" w:lineRule="exact"/>
        <w:rPr>
          <w:rFonts w:hint="eastAsia" w:ascii="宋体" w:hAnsi="宋体"/>
          <w:b/>
          <w:bCs/>
          <w:kern w:val="0"/>
          <w:szCs w:val="21"/>
        </w:rPr>
      </w:pPr>
    </w:p>
    <w:p>
      <w:pPr>
        <w:spacing w:line="440" w:lineRule="exact"/>
        <w:rPr>
          <w:rFonts w:hint="eastAsia" w:ascii="宋体" w:hAnsi="宋体"/>
          <w:b/>
          <w:bCs/>
          <w:kern w:val="0"/>
          <w:szCs w:val="21"/>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w:t>
      </w:r>
    </w:p>
    <w:p>
      <w:pPr>
        <w:jc w:val="center"/>
        <w:rPr>
          <w:b/>
          <w:bCs/>
          <w:sz w:val="28"/>
          <w:szCs w:val="28"/>
        </w:rPr>
      </w:pPr>
      <w:r>
        <w:rPr>
          <w:rFonts w:hint="eastAsia"/>
          <w:b/>
          <w:bCs/>
          <w:sz w:val="28"/>
          <w:szCs w:val="28"/>
        </w:rPr>
        <w:t>报价单</w:t>
      </w:r>
    </w:p>
    <w:tbl>
      <w:tblPr>
        <w:tblStyle w:val="12"/>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34"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spacing w:line="360" w:lineRule="auto"/>
              <w:ind w:firstLine="0" w:firstLineChars="0"/>
              <w:jc w:val="center"/>
              <w:rPr>
                <w:rFonts w:ascii="Times New Roman" w:hAnsi="Times New Roman" w:eastAsia="微软雅黑"/>
                <w:kern w:val="0"/>
                <w:sz w:val="22"/>
              </w:rPr>
            </w:pP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18"/>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附件七、商务条款偏离表格式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附件八、项目实施方案（自拟）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pStyle w:val="18"/>
        <w:ind w:firstLine="560"/>
        <w:rPr>
          <w:rFonts w:ascii="宋体" w:hAnsi="宋体" w:cs="宋体"/>
          <w:color w:val="000000"/>
          <w:kern w:val="0"/>
          <w:sz w:val="28"/>
          <w:szCs w:val="28"/>
        </w:rPr>
      </w:pPr>
    </w:p>
    <w:p>
      <w:pPr>
        <w:pStyle w:val="18"/>
        <w:ind w:firstLine="560"/>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18"/>
        <w:ind w:firstLine="420"/>
        <w:rPr>
          <w:rFonts w:ascii="宋体" w:hAnsi="宋体" w:cs="宋体"/>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BBCFB"/>
    <w:multiLevelType w:val="singleLevel"/>
    <w:tmpl w:val="041BBCFB"/>
    <w:lvl w:ilvl="0" w:tentative="0">
      <w:start w:val="1"/>
      <w:numFmt w:val="decimal"/>
      <w:lvlText w:val="(%1)"/>
      <w:lvlJc w:val="left"/>
      <w:pPr>
        <w:ind w:left="425" w:hanging="425"/>
      </w:pPr>
      <w:rPr>
        <w:rFonts w:hint="default"/>
      </w:rPr>
    </w:lvl>
  </w:abstractNum>
  <w:abstractNum w:abstractNumId="1">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2">
    <w:nsid w:val="75983609"/>
    <w:multiLevelType w:val="singleLevel"/>
    <w:tmpl w:val="75983609"/>
    <w:lvl w:ilvl="0" w:tentative="0">
      <w:start w:val="2"/>
      <w:numFmt w:val="chineseCounting"/>
      <w:suff w:val="nothing"/>
      <w:lvlText w:val="%1、"/>
      <w:lvlJc w:val="left"/>
      <w:rPr>
        <w:rFonts w:hint="eastAsia"/>
      </w:rPr>
    </w:lvl>
  </w:abstractNum>
  <w:abstractNum w:abstractNumId="3">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79F42872"/>
    <w:rsid w:val="0002400F"/>
    <w:rsid w:val="00033FA2"/>
    <w:rsid w:val="000F0248"/>
    <w:rsid w:val="001250C8"/>
    <w:rsid w:val="001A0713"/>
    <w:rsid w:val="001B0C80"/>
    <w:rsid w:val="001F3817"/>
    <w:rsid w:val="00283106"/>
    <w:rsid w:val="002A77DD"/>
    <w:rsid w:val="00321979"/>
    <w:rsid w:val="00350D56"/>
    <w:rsid w:val="00395882"/>
    <w:rsid w:val="003E1BA1"/>
    <w:rsid w:val="003F07B4"/>
    <w:rsid w:val="00457458"/>
    <w:rsid w:val="004D084D"/>
    <w:rsid w:val="005074CF"/>
    <w:rsid w:val="005806A0"/>
    <w:rsid w:val="005B08AE"/>
    <w:rsid w:val="0066255D"/>
    <w:rsid w:val="00724B3D"/>
    <w:rsid w:val="00742F5F"/>
    <w:rsid w:val="00783E0C"/>
    <w:rsid w:val="007D7A06"/>
    <w:rsid w:val="00811F06"/>
    <w:rsid w:val="00814405"/>
    <w:rsid w:val="00822353"/>
    <w:rsid w:val="008C21BD"/>
    <w:rsid w:val="008C7272"/>
    <w:rsid w:val="00917BC6"/>
    <w:rsid w:val="0098141C"/>
    <w:rsid w:val="009E4892"/>
    <w:rsid w:val="00A168BF"/>
    <w:rsid w:val="00AB13FD"/>
    <w:rsid w:val="00AC2034"/>
    <w:rsid w:val="00B06D36"/>
    <w:rsid w:val="00BB12C7"/>
    <w:rsid w:val="00BB42CE"/>
    <w:rsid w:val="00C2799F"/>
    <w:rsid w:val="00C94286"/>
    <w:rsid w:val="00CA15F5"/>
    <w:rsid w:val="00DE273B"/>
    <w:rsid w:val="00DF2AF7"/>
    <w:rsid w:val="00EE083F"/>
    <w:rsid w:val="00F64770"/>
    <w:rsid w:val="00FA2E4D"/>
    <w:rsid w:val="04DD46C9"/>
    <w:rsid w:val="05726113"/>
    <w:rsid w:val="0876509D"/>
    <w:rsid w:val="172A2B30"/>
    <w:rsid w:val="181F5A49"/>
    <w:rsid w:val="1EB17E6B"/>
    <w:rsid w:val="259907EE"/>
    <w:rsid w:val="26700F1B"/>
    <w:rsid w:val="273B6273"/>
    <w:rsid w:val="2AD85D7B"/>
    <w:rsid w:val="3DA83648"/>
    <w:rsid w:val="40BF0B8B"/>
    <w:rsid w:val="44D42062"/>
    <w:rsid w:val="498D40B1"/>
    <w:rsid w:val="4B8B39F3"/>
    <w:rsid w:val="6021168F"/>
    <w:rsid w:val="77903C7D"/>
    <w:rsid w:val="79F42872"/>
    <w:rsid w:val="7D6A7712"/>
    <w:rsid w:val="7FAF3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4">
    <w:name w:val="Normal Indent"/>
    <w:basedOn w:val="1"/>
    <w:qFormat/>
    <w:uiPriority w:val="0"/>
    <w:pPr>
      <w:ind w:firstLine="420"/>
    </w:pPr>
    <w:rPr>
      <w:b/>
      <w:sz w:val="24"/>
    </w:rPr>
  </w:style>
  <w:style w:type="paragraph" w:styleId="5">
    <w:name w:val="annotation text"/>
    <w:basedOn w:val="1"/>
    <w:qFormat/>
    <w:uiPriority w:val="0"/>
    <w:pPr>
      <w:jc w:val="left"/>
    </w:pPr>
  </w:style>
  <w:style w:type="paragraph" w:styleId="6">
    <w:name w:val="Block Text"/>
    <w:basedOn w:val="1"/>
    <w:qFormat/>
    <w:uiPriority w:val="0"/>
    <w:pPr>
      <w:spacing w:after="120"/>
      <w:ind w:left="1440" w:leftChars="700" w:right="1440" w:rightChars="700"/>
    </w:pPr>
    <w:rPr>
      <w:sz w:val="24"/>
      <w:szCs w:val="24"/>
    </w:rPr>
  </w:style>
  <w:style w:type="paragraph" w:styleId="7">
    <w:name w:val="Plain Text"/>
    <w:basedOn w:val="1"/>
    <w:qFormat/>
    <w:uiPriority w:val="99"/>
    <w:pPr>
      <w:widowControl/>
      <w:jc w:val="left"/>
    </w:pPr>
    <w:rPr>
      <w:rFonts w:ascii="宋体" w:hAnsi="Courier New" w:cs="宋体"/>
      <w:kern w:val="0"/>
      <w:sz w:val="24"/>
    </w:rPr>
  </w:style>
  <w:style w:type="paragraph" w:styleId="8">
    <w:name w:val="Balloon Text"/>
    <w:basedOn w:val="1"/>
    <w:link w:val="21"/>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qFormat/>
    <w:uiPriority w:val="0"/>
    <w:rPr>
      <w:color w:val="800080"/>
      <w:u w:val="single"/>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首行缩进"/>
    <w:basedOn w:val="1"/>
    <w:qFormat/>
    <w:uiPriority w:val="0"/>
    <w:pPr>
      <w:ind w:firstLine="480" w:firstLineChars="200"/>
    </w:pPr>
    <w:rPr>
      <w:lang w:val="zh-CN"/>
    </w:rPr>
  </w:style>
  <w:style w:type="paragraph" w:styleId="19">
    <w:name w:val="List Paragraph"/>
    <w:basedOn w:val="1"/>
    <w:qFormat/>
    <w:uiPriority w:val="34"/>
    <w:pPr>
      <w:ind w:firstLine="420" w:firstLineChars="200"/>
    </w:pPr>
    <w:rPr>
      <w:rFonts w:ascii="Calibri" w:hAnsi="Calibri"/>
    </w:rPr>
  </w:style>
  <w:style w:type="paragraph" w:customStyle="1" w:styleId="20">
    <w:name w:val="*正文"/>
    <w:basedOn w:val="1"/>
    <w:qFormat/>
    <w:uiPriority w:val="0"/>
    <w:pPr>
      <w:widowControl/>
      <w:spacing w:line="360" w:lineRule="auto"/>
    </w:pPr>
    <w:rPr>
      <w:rFonts w:ascii="仿宋_GB2312" w:eastAsia="仿宋_GB2312"/>
      <w:sz w:val="24"/>
      <w:szCs w:val="28"/>
    </w:rPr>
  </w:style>
  <w:style w:type="character" w:customStyle="1" w:styleId="21">
    <w:name w:val="批注框文本 Char"/>
    <w:basedOn w:val="14"/>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9465</Words>
  <Characters>9623</Characters>
  <Lines>76</Lines>
  <Paragraphs>21</Paragraphs>
  <TotalTime>0</TotalTime>
  <ScaleCrop>false</ScaleCrop>
  <LinksUpToDate>false</LinksUpToDate>
  <CharactersWithSpaces>10079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2021-05-26T06:24:00Z</dcterms:created>
  <dc:creator>旖旎</dc:creator>
  <cp:lastModifiedBy>旖旎</cp:lastModifiedBy>
  <cp:lastPrinted>2022-06-09T01:01:00Z</cp:lastPrinted>
  <dcterms:modified xsi:type="dcterms:W3CDTF">2022-06-13T00:56:43Z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6D75592DD70C48F8A3965EADA020A922</vt:lpwstr>
  </property>
</Properties>
</file>