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48"/>
          <w:szCs w:val="56"/>
        </w:rPr>
      </w:pPr>
      <w:r>
        <w:rPr>
          <w:rFonts w:hint="eastAsia" w:eastAsia="黑体"/>
          <w:b/>
          <w:bCs/>
          <w:sz w:val="52"/>
          <w:szCs w:val="36"/>
        </w:rPr>
        <w:t>2022年</w:t>
      </w:r>
      <w:r>
        <w:rPr>
          <w:rFonts w:hint="eastAsia" w:eastAsia="黑体"/>
          <w:b/>
          <w:bCs/>
          <w:sz w:val="48"/>
          <w:szCs w:val="56"/>
        </w:rPr>
        <w:t>南京市疾控中心</w:t>
      </w:r>
    </w:p>
    <w:p>
      <w:pPr>
        <w:spacing w:line="360" w:lineRule="auto"/>
        <w:jc w:val="center"/>
        <w:rPr>
          <w:rFonts w:eastAsia="黑体"/>
          <w:b/>
          <w:bCs/>
          <w:sz w:val="52"/>
          <w:szCs w:val="36"/>
        </w:rPr>
      </w:pPr>
      <w:r>
        <w:rPr>
          <w:rFonts w:hint="eastAsia" w:eastAsia="黑体"/>
          <w:b/>
          <w:bCs/>
          <w:sz w:val="52"/>
          <w:szCs w:val="36"/>
        </w:rPr>
        <w:t>快速核酸检测仪采购项目</w:t>
      </w:r>
    </w:p>
    <w:p>
      <w:pPr>
        <w:spacing w:line="520" w:lineRule="exact"/>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28"/>
          <w:szCs w:val="28"/>
        </w:rPr>
      </w:pPr>
      <w:r>
        <w:rPr>
          <w:rFonts w:hAnsiTheme="minorEastAsia"/>
          <w:sz w:val="28"/>
          <w:szCs w:val="28"/>
        </w:rPr>
        <w:t>招标文件</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2022</w:t>
      </w:r>
      <w:r>
        <w:rPr>
          <w:rFonts w:hAnsiTheme="minorEastAsia"/>
          <w:sz w:val="28"/>
          <w:szCs w:val="28"/>
        </w:rPr>
        <w:t>年</w:t>
      </w:r>
      <w:r>
        <w:rPr>
          <w:rFonts w:hint="eastAsia" w:hAnsiTheme="minorEastAsia"/>
          <w:sz w:val="28"/>
          <w:szCs w:val="28"/>
        </w:rPr>
        <w:t>6</w:t>
      </w:r>
      <w:r>
        <w:rPr>
          <w:rFonts w:hAnsiTheme="minorEastAsia"/>
          <w:sz w:val="28"/>
          <w:szCs w:val="28"/>
        </w:rPr>
        <w:t>月</w:t>
      </w:r>
      <w:r>
        <w:rPr>
          <w:rFonts w:hint="eastAsia" w:hAnsiTheme="minorEastAsia"/>
          <w:sz w:val="28"/>
          <w:szCs w:val="28"/>
          <w:lang w:val="en-US" w:eastAsia="zh-CN"/>
        </w:rPr>
        <w:t>8</w:t>
      </w:r>
      <w:r>
        <w:rPr>
          <w:rFonts w:hAnsiTheme="minorEastAsia"/>
          <w:sz w:val="28"/>
          <w:szCs w:val="28"/>
        </w:rPr>
        <w:t>日</w:t>
      </w:r>
    </w:p>
    <w:p>
      <w:pPr>
        <w:spacing w:line="360" w:lineRule="auto"/>
        <w:jc w:val="center"/>
        <w:rPr>
          <w:rFonts w:eastAsia="黑体"/>
          <w:b/>
          <w:bCs/>
          <w:sz w:val="48"/>
          <w:szCs w:val="56"/>
        </w:rPr>
      </w:pPr>
    </w:p>
    <w:p>
      <w:pPr>
        <w:pStyle w:val="2"/>
        <w:ind w:firstLine="420"/>
        <w:rPr>
          <w:lang w:val="en-US"/>
        </w:rPr>
      </w:pPr>
    </w:p>
    <w:p>
      <w:pPr>
        <w:spacing w:line="360" w:lineRule="auto"/>
        <w:jc w:val="center"/>
        <w:rPr>
          <w:rFonts w:eastAsia="黑体"/>
          <w:b/>
          <w:bCs/>
          <w:sz w:val="40"/>
          <w:szCs w:val="56"/>
        </w:rPr>
      </w:pPr>
      <w:r>
        <w:rPr>
          <w:rFonts w:hint="eastAsia" w:eastAsia="黑体"/>
          <w:b/>
          <w:bCs/>
          <w:sz w:val="40"/>
          <w:szCs w:val="56"/>
        </w:rPr>
        <w:t>南京市疾控中心快速核酸检测仪采购</w:t>
      </w:r>
      <w:r>
        <w:rPr>
          <w:rFonts w:eastAsia="黑体"/>
          <w:b/>
          <w:bCs/>
          <w:sz w:val="40"/>
          <w:szCs w:val="56"/>
        </w:rPr>
        <w:t>项目公告</w:t>
      </w:r>
    </w:p>
    <w:p/>
    <w:p>
      <w:pPr>
        <w:widowControl/>
        <w:shd w:val="clear" w:color="auto" w:fill="FFFFFF"/>
        <w:spacing w:line="360" w:lineRule="auto"/>
        <w:ind w:firstLine="370"/>
        <w:rPr>
          <w:rFonts w:ascii="宋体" w:hAnsi="宋体" w:cs="宋体"/>
          <w:spacing w:val="8"/>
          <w:kern w:val="0"/>
          <w:szCs w:val="21"/>
        </w:rPr>
      </w:pPr>
      <w:r>
        <w:rPr>
          <w:rFonts w:hint="eastAsia" w:ascii="宋体" w:hAnsi="宋体" w:cs="宋体"/>
          <w:spacing w:val="8"/>
          <w:kern w:val="0"/>
          <w:szCs w:val="21"/>
        </w:rPr>
        <w:t>南京</w:t>
      </w:r>
      <w:r>
        <w:rPr>
          <w:rFonts w:hint="eastAsia" w:ascii="宋体" w:hAnsi="宋体"/>
          <w:szCs w:val="21"/>
        </w:rPr>
        <w:t>市疾病预防控制中心快速核酸检测仪进行招标</w:t>
      </w:r>
      <w:r>
        <w:rPr>
          <w:rFonts w:hint="eastAsia" w:ascii="宋体" w:hAnsi="宋体" w:cs="宋体"/>
          <w:spacing w:val="8"/>
          <w:kern w:val="0"/>
          <w:szCs w:val="21"/>
        </w:rPr>
        <w:t>采购，项目</w:t>
      </w:r>
      <w:r>
        <w:rPr>
          <w:rFonts w:hint="eastAsia" w:ascii="宋体" w:hAnsi="宋体"/>
          <w:szCs w:val="21"/>
        </w:rPr>
        <w:t>预算10万元，</w:t>
      </w:r>
      <w:r>
        <w:rPr>
          <w:rFonts w:hint="eastAsia" w:ascii="宋体" w:hAnsi="宋体" w:cs="宋体"/>
          <w:spacing w:val="8"/>
          <w:kern w:val="0"/>
          <w:szCs w:val="21"/>
        </w:rPr>
        <w:t>项目采用综合打分法，</w:t>
      </w:r>
      <w:r>
        <w:rPr>
          <w:rFonts w:hint="eastAsia" w:ascii="宋体" w:hAnsi="宋体"/>
          <w:szCs w:val="21"/>
        </w:rPr>
        <w:t>不接受联合体投标，欢迎符合资格条件的供应商参加。现将采购工作等相关事宜，公告如下:</w:t>
      </w:r>
    </w:p>
    <w:p>
      <w:pPr>
        <w:numPr>
          <w:ilvl w:val="0"/>
          <w:numId w:val="1"/>
        </w:numPr>
        <w:spacing w:after="120" w:line="360" w:lineRule="auto"/>
        <w:rPr>
          <w:rFonts w:ascii="宋体" w:hAnsi="宋体"/>
          <w:szCs w:val="21"/>
        </w:rPr>
      </w:pPr>
      <w:r>
        <w:rPr>
          <w:rFonts w:hint="eastAsia" w:ascii="宋体" w:hAnsi="宋体"/>
          <w:szCs w:val="21"/>
        </w:rPr>
        <w:t>响应时间、地点及其他要求</w:t>
      </w:r>
    </w:p>
    <w:p>
      <w:pPr>
        <w:numPr>
          <w:ilvl w:val="0"/>
          <w:numId w:val="2"/>
        </w:numPr>
        <w:spacing w:after="120" w:line="360" w:lineRule="auto"/>
        <w:rPr>
          <w:rFonts w:ascii="宋体" w:hAnsi="宋体" w:cs="宋体"/>
          <w:color w:val="000000"/>
          <w:szCs w:val="21"/>
          <w:lang w:val="zh-CN"/>
        </w:rPr>
      </w:pPr>
      <w:r>
        <w:rPr>
          <w:rFonts w:hint="eastAsia" w:ascii="宋体" w:hAnsi="宋体"/>
          <w:szCs w:val="21"/>
        </w:rPr>
        <w:t>响应文件份数：纸质版一式叁份（壹份正本、贰份副本）每份响应文件须清楚标明“正本”或“副本”字样。一旦正本和副本不符，以正本为准。</w:t>
      </w:r>
    </w:p>
    <w:p>
      <w:pPr>
        <w:numPr>
          <w:ilvl w:val="0"/>
          <w:numId w:val="2"/>
        </w:numPr>
        <w:spacing w:after="120" w:line="360" w:lineRule="auto"/>
        <w:rPr>
          <w:rFonts w:ascii="宋体" w:hAnsi="宋体"/>
          <w:szCs w:val="21"/>
          <w:lang w:val="zh-CN"/>
        </w:rPr>
      </w:pPr>
      <w:r>
        <w:rPr>
          <w:rFonts w:hint="eastAsia" w:ascii="宋体" w:hAnsi="宋体"/>
          <w:szCs w:val="21"/>
          <w:lang w:val="zh-CN"/>
        </w:rPr>
        <w:t>响应文件地点：南京市疾控中心紫竹林3号</w:t>
      </w:r>
      <w:r>
        <w:rPr>
          <w:rFonts w:hint="eastAsia" w:ascii="宋体" w:hAnsi="宋体"/>
          <w:szCs w:val="21"/>
        </w:rPr>
        <w:t>2楼会议室；</w:t>
      </w:r>
    </w:p>
    <w:p>
      <w:pPr>
        <w:numPr>
          <w:ilvl w:val="0"/>
          <w:numId w:val="2"/>
        </w:numPr>
        <w:spacing w:after="120" w:line="360" w:lineRule="auto"/>
        <w:rPr>
          <w:rFonts w:ascii="宋体" w:hAnsi="宋体"/>
          <w:szCs w:val="21"/>
          <w:lang w:val="zh-CN"/>
        </w:rPr>
      </w:pPr>
      <w:r>
        <w:rPr>
          <w:rFonts w:hint="eastAsia" w:ascii="宋体" w:hAnsi="宋体"/>
          <w:szCs w:val="21"/>
          <w:lang w:val="zh-CN"/>
        </w:rPr>
        <w:t>递交响应文件开始时间：</w:t>
      </w:r>
      <w:r>
        <w:rPr>
          <w:rFonts w:hint="eastAsia" w:ascii="宋体" w:hAnsi="宋体"/>
          <w:color w:val="FF0000"/>
          <w:szCs w:val="21"/>
        </w:rPr>
        <w:t>2022</w:t>
      </w:r>
      <w:r>
        <w:rPr>
          <w:rFonts w:hint="eastAsia" w:ascii="宋体" w:hAnsi="宋体"/>
          <w:color w:val="FF0000"/>
          <w:szCs w:val="21"/>
          <w:lang w:val="zh-CN"/>
        </w:rPr>
        <w:t>年6月1</w:t>
      </w:r>
      <w:r>
        <w:rPr>
          <w:rFonts w:hint="eastAsia" w:ascii="宋体" w:hAnsi="宋体"/>
          <w:color w:val="FF0000"/>
          <w:szCs w:val="21"/>
          <w:lang w:val="en-US" w:eastAsia="zh-CN"/>
        </w:rPr>
        <w:t>5</w:t>
      </w:r>
      <w:r>
        <w:rPr>
          <w:rFonts w:hint="eastAsia" w:ascii="宋体" w:hAnsi="宋体"/>
          <w:color w:val="FF0000"/>
          <w:szCs w:val="21"/>
          <w:lang w:val="zh-CN"/>
        </w:rPr>
        <w:t>日上午</w:t>
      </w:r>
      <w:r>
        <w:rPr>
          <w:rFonts w:hint="eastAsia" w:ascii="宋体" w:hAnsi="宋体"/>
          <w:color w:val="FF0000"/>
          <w:szCs w:val="21"/>
        </w:rPr>
        <w:t>9：00</w:t>
      </w:r>
      <w:r>
        <w:rPr>
          <w:rFonts w:hint="eastAsia" w:ascii="宋体" w:hAnsi="宋体"/>
          <w:szCs w:val="21"/>
        </w:rPr>
        <w:t>（北京时间）；</w:t>
      </w:r>
    </w:p>
    <w:p>
      <w:pPr>
        <w:numPr>
          <w:ilvl w:val="0"/>
          <w:numId w:val="2"/>
        </w:numPr>
        <w:spacing w:after="120" w:line="360" w:lineRule="auto"/>
        <w:rPr>
          <w:rFonts w:ascii="宋体" w:hAnsi="宋体"/>
          <w:szCs w:val="21"/>
          <w:lang w:val="zh-CN"/>
        </w:rPr>
      </w:pPr>
      <w:r>
        <w:rPr>
          <w:rFonts w:hint="eastAsia" w:ascii="宋体" w:hAnsi="宋体"/>
          <w:szCs w:val="21"/>
          <w:lang w:val="zh-CN"/>
        </w:rPr>
        <w:t>递交响应文件截止时间：</w:t>
      </w:r>
      <w:r>
        <w:rPr>
          <w:rFonts w:hint="eastAsia" w:ascii="宋体" w:hAnsi="宋体"/>
          <w:color w:val="FF0000"/>
          <w:szCs w:val="21"/>
          <w:lang w:val="zh-CN"/>
        </w:rPr>
        <w:t>20</w:t>
      </w:r>
      <w:r>
        <w:rPr>
          <w:rFonts w:hint="eastAsia" w:ascii="宋体" w:hAnsi="宋体"/>
          <w:color w:val="FF0000"/>
          <w:szCs w:val="21"/>
        </w:rPr>
        <w:t>22</w:t>
      </w:r>
      <w:r>
        <w:rPr>
          <w:rFonts w:hint="eastAsia" w:ascii="宋体" w:hAnsi="宋体"/>
          <w:color w:val="FF0000"/>
          <w:szCs w:val="21"/>
          <w:lang w:val="zh-CN"/>
        </w:rPr>
        <w:t>年6月1</w:t>
      </w:r>
      <w:r>
        <w:rPr>
          <w:rFonts w:hint="eastAsia" w:ascii="宋体" w:hAnsi="宋体"/>
          <w:color w:val="FF0000"/>
          <w:szCs w:val="21"/>
          <w:lang w:val="en-US" w:eastAsia="zh-CN"/>
        </w:rPr>
        <w:t>5</w:t>
      </w:r>
      <w:r>
        <w:rPr>
          <w:rFonts w:hint="eastAsia" w:ascii="宋体" w:hAnsi="宋体"/>
          <w:color w:val="FF0000"/>
          <w:szCs w:val="21"/>
          <w:lang w:val="zh-CN"/>
        </w:rPr>
        <w:t>日上</w:t>
      </w:r>
      <w:r>
        <w:rPr>
          <w:rFonts w:hint="eastAsia" w:ascii="宋体" w:hAnsi="宋体"/>
          <w:color w:val="FF0000"/>
          <w:szCs w:val="21"/>
        </w:rPr>
        <w:t>午9：29</w:t>
      </w:r>
      <w:r>
        <w:rPr>
          <w:rFonts w:hint="eastAsia" w:ascii="宋体" w:hAnsi="宋体"/>
          <w:szCs w:val="21"/>
        </w:rPr>
        <w:t>（北京时间）</w:t>
      </w:r>
      <w:r>
        <w:rPr>
          <w:rFonts w:hint="eastAsia" w:ascii="宋体" w:hAnsi="宋体"/>
          <w:szCs w:val="21"/>
          <w:lang w:val="zh-CN"/>
        </w:rPr>
        <w:t>；</w:t>
      </w:r>
    </w:p>
    <w:p>
      <w:pPr>
        <w:widowControl/>
        <w:shd w:val="clear" w:color="auto" w:fill="FFFFFF"/>
        <w:spacing w:after="120" w:line="360" w:lineRule="auto"/>
        <w:ind w:firstLine="412"/>
        <w:rPr>
          <w:rFonts w:ascii="宋体" w:hAnsi="宋体" w:cs="宋体"/>
          <w:b/>
          <w:kern w:val="0"/>
          <w:szCs w:val="21"/>
        </w:rPr>
      </w:pPr>
      <w:r>
        <w:rPr>
          <w:rFonts w:hint="eastAsia" w:ascii="宋体" w:hAnsi="宋体" w:cs="宋体"/>
          <w:b/>
          <w:kern w:val="0"/>
          <w:szCs w:val="21"/>
        </w:rPr>
        <w:t>响应文件所报的响应价格不得超过预算总价，超过预算总价的按无效投标处理。</w:t>
      </w:r>
    </w:p>
    <w:p>
      <w:pPr>
        <w:numPr>
          <w:ilvl w:val="0"/>
          <w:numId w:val="1"/>
        </w:numPr>
        <w:spacing w:after="120" w:line="360" w:lineRule="auto"/>
        <w:rPr>
          <w:rFonts w:ascii="宋体" w:hAnsi="宋体"/>
          <w:szCs w:val="21"/>
        </w:rPr>
      </w:pPr>
      <w:r>
        <w:rPr>
          <w:rFonts w:hint="eastAsia" w:ascii="宋体" w:hAnsi="宋体"/>
          <w:szCs w:val="21"/>
        </w:rPr>
        <w:t>开标及评标时间、地点及其他要求：</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color w:val="FF0000"/>
          <w:szCs w:val="21"/>
        </w:rPr>
        <w:t>20</w:t>
      </w:r>
      <w:r>
        <w:rPr>
          <w:rFonts w:hint="eastAsia" w:ascii="宋体" w:hAnsi="宋体"/>
          <w:color w:val="FF0000"/>
          <w:szCs w:val="21"/>
        </w:rPr>
        <w:t>22年6月1</w:t>
      </w:r>
      <w:r>
        <w:rPr>
          <w:rFonts w:hint="eastAsia" w:ascii="宋体" w:hAnsi="宋体"/>
          <w:color w:val="FF0000"/>
          <w:szCs w:val="21"/>
          <w:lang w:val="en-US" w:eastAsia="zh-CN"/>
        </w:rPr>
        <w:t>5</w:t>
      </w:r>
      <w:r>
        <w:rPr>
          <w:rFonts w:hint="eastAsia" w:ascii="宋体" w:hAnsi="宋体"/>
          <w:color w:val="FF0000"/>
          <w:szCs w:val="21"/>
        </w:rPr>
        <w:t>日上午9：3</w:t>
      </w:r>
      <w:r>
        <w:rPr>
          <w:rFonts w:ascii="宋体" w:hAnsi="宋体"/>
          <w:color w:val="FF0000"/>
          <w:szCs w:val="21"/>
        </w:rPr>
        <w:t>0</w:t>
      </w:r>
      <w:r>
        <w:rPr>
          <w:rFonts w:hint="eastAsia" w:ascii="宋体" w:hAnsi="宋体"/>
          <w:szCs w:val="21"/>
        </w:rPr>
        <w:t>南京市疾病预防控制中心（紫竹林3号）2楼会议室。</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）参与者将响应文件以书面密封形式（加盖骑缝章）送达我中心。(未密封、未加盖骑缝章将不得参与本次采购活动)</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）我中心开标前（不得拆标）。评审小组将根据对供应商资质要求进行审核。</w:t>
      </w:r>
    </w:p>
    <w:p>
      <w:pPr>
        <w:numPr>
          <w:ilvl w:val="0"/>
          <w:numId w:val="1"/>
        </w:numPr>
        <w:spacing w:after="120" w:line="360" w:lineRule="auto"/>
        <w:rPr>
          <w:rFonts w:ascii="宋体" w:hAnsi="宋体"/>
          <w:szCs w:val="21"/>
        </w:rPr>
      </w:pPr>
      <w:r>
        <w:rPr>
          <w:rFonts w:hint="eastAsia" w:ascii="宋体" w:hAnsi="宋体"/>
          <w:szCs w:val="21"/>
          <w:lang w:val="zh-CN"/>
        </w:rPr>
        <w:t>供应商应具备下列资格条件,并提供证明材料(包括但不限于):</w:t>
      </w:r>
    </w:p>
    <w:p>
      <w:pPr>
        <w:pStyle w:val="14"/>
        <w:numPr>
          <w:ilvl w:val="0"/>
          <w:numId w:val="3"/>
        </w:numPr>
        <w:spacing w:line="360" w:lineRule="auto"/>
        <w:ind w:firstLineChars="0"/>
        <w:rPr>
          <w:rFonts w:ascii="宋体" w:hAnsi="宋体"/>
          <w:szCs w:val="21"/>
        </w:rPr>
      </w:pPr>
      <w:r>
        <w:rPr>
          <w:rFonts w:hint="eastAsia" w:ascii="宋体" w:hAnsi="宋体"/>
          <w:szCs w:val="21"/>
        </w:rPr>
        <w:t>满足《中国人民共和国政府采购法》第二十二条规定；</w:t>
      </w:r>
    </w:p>
    <w:p>
      <w:pPr>
        <w:pStyle w:val="14"/>
        <w:numPr>
          <w:ilvl w:val="0"/>
          <w:numId w:val="3"/>
        </w:numPr>
        <w:spacing w:line="360" w:lineRule="auto"/>
        <w:ind w:firstLineChars="0"/>
        <w:rPr>
          <w:rFonts w:ascii="宋体" w:hAnsi="宋体"/>
          <w:szCs w:val="21"/>
        </w:rPr>
      </w:pPr>
      <w:r>
        <w:rPr>
          <w:rFonts w:hint="eastAsia" w:ascii="宋体" w:hAnsi="宋体"/>
          <w:szCs w:val="21"/>
        </w:rPr>
        <w:t>具有独立企业法人资格，经营范围至少包括投标项目。</w:t>
      </w:r>
    </w:p>
    <w:p>
      <w:pPr>
        <w:pStyle w:val="14"/>
        <w:numPr>
          <w:ilvl w:val="0"/>
          <w:numId w:val="3"/>
        </w:numPr>
        <w:spacing w:line="360" w:lineRule="auto"/>
        <w:ind w:firstLineChars="0"/>
        <w:rPr>
          <w:rFonts w:ascii="宋体" w:hAnsi="宋体"/>
          <w:szCs w:val="21"/>
        </w:rPr>
      </w:pPr>
      <w:r>
        <w:rPr>
          <w:rFonts w:hint="eastAsia" w:ascii="宋体" w:hAnsi="宋体"/>
          <w:szCs w:val="21"/>
        </w:rPr>
        <w:t>具有良好的商业信誉和健全的财务会计制度；</w:t>
      </w:r>
    </w:p>
    <w:p>
      <w:pPr>
        <w:pStyle w:val="14"/>
        <w:widowControl/>
        <w:numPr>
          <w:ilvl w:val="0"/>
          <w:numId w:val="3"/>
        </w:numPr>
        <w:tabs>
          <w:tab w:val="left" w:pos="0"/>
        </w:tabs>
        <w:spacing w:line="360" w:lineRule="auto"/>
        <w:ind w:firstLineChars="0"/>
        <w:rPr>
          <w:rFonts w:ascii="宋体" w:hAnsi="宋体"/>
          <w:szCs w:val="21"/>
        </w:rPr>
      </w:pPr>
      <w:r>
        <w:rPr>
          <w:rFonts w:hint="eastAsia" w:ascii="宋体" w:hAnsi="宋体"/>
          <w:szCs w:val="21"/>
        </w:rPr>
        <w:t>具有履行合同所必需的设备和专业技术能力；</w:t>
      </w:r>
    </w:p>
    <w:p>
      <w:pPr>
        <w:pStyle w:val="14"/>
        <w:widowControl/>
        <w:numPr>
          <w:ilvl w:val="0"/>
          <w:numId w:val="3"/>
        </w:numPr>
        <w:tabs>
          <w:tab w:val="left" w:pos="0"/>
        </w:tabs>
        <w:spacing w:line="360" w:lineRule="auto"/>
        <w:ind w:firstLineChars="0"/>
        <w:rPr>
          <w:rFonts w:ascii="宋体" w:hAnsi="宋体"/>
          <w:szCs w:val="21"/>
        </w:rPr>
      </w:pPr>
      <w:r>
        <w:rPr>
          <w:rFonts w:hint="eastAsia" w:ascii="宋体" w:hAnsi="宋体"/>
          <w:szCs w:val="21"/>
        </w:rPr>
        <w:t>有依法缴纳税收和社会保障资金的良好记录；</w:t>
      </w:r>
    </w:p>
    <w:p>
      <w:pPr>
        <w:pStyle w:val="14"/>
        <w:widowControl/>
        <w:numPr>
          <w:ilvl w:val="0"/>
          <w:numId w:val="3"/>
        </w:numPr>
        <w:tabs>
          <w:tab w:val="left" w:pos="0"/>
        </w:tabs>
        <w:spacing w:line="360" w:lineRule="auto"/>
        <w:ind w:firstLineChars="0"/>
        <w:rPr>
          <w:rFonts w:ascii="宋体" w:hAnsi="宋体"/>
          <w:szCs w:val="21"/>
        </w:rPr>
      </w:pPr>
      <w:r>
        <w:rPr>
          <w:rFonts w:hint="eastAsia" w:ascii="宋体" w:hAnsi="宋体"/>
          <w:szCs w:val="21"/>
        </w:rPr>
        <w:t>近三年内（本项目投标截止期前）在经营活动中没有重大违法记录；</w:t>
      </w:r>
    </w:p>
    <w:p>
      <w:pPr>
        <w:pStyle w:val="14"/>
        <w:widowControl/>
        <w:numPr>
          <w:ilvl w:val="0"/>
          <w:numId w:val="3"/>
        </w:numPr>
        <w:tabs>
          <w:tab w:val="left" w:pos="0"/>
        </w:tabs>
        <w:spacing w:line="360" w:lineRule="auto"/>
        <w:ind w:firstLineChars="0"/>
        <w:rPr>
          <w:rFonts w:ascii="Arial" w:hAnsi="Arial" w:cs="Arial"/>
          <w:bCs/>
          <w:i/>
          <w:iCs/>
          <w:color w:val="FF0000"/>
          <w:spacing w:val="8"/>
          <w:kern w:val="0"/>
          <w:szCs w:val="21"/>
          <w:u w:val="single"/>
        </w:rPr>
      </w:pPr>
      <w:r>
        <w:rPr>
          <w:rFonts w:hint="eastAsia" w:ascii="宋体" w:hAnsi="宋体"/>
          <w:szCs w:val="21"/>
        </w:rPr>
        <w:t>其他证明材料：具备一年内或近期案例；具有完善的售后服务体系；具有良好的行业信誉，财务数据运营正常；投标人基本情况简介；项目负责人情况表；其他相关材料。</w:t>
      </w:r>
    </w:p>
    <w:p>
      <w:pPr>
        <w:pStyle w:val="14"/>
        <w:numPr>
          <w:ilvl w:val="0"/>
          <w:numId w:val="3"/>
        </w:numPr>
        <w:spacing w:line="360" w:lineRule="auto"/>
        <w:ind w:firstLineChars="0"/>
        <w:rPr>
          <w:rFonts w:ascii="宋体" w:hAnsi="宋体" w:cs="宋体"/>
          <w:szCs w:val="21"/>
        </w:rPr>
      </w:pPr>
      <w:r>
        <w:rPr>
          <w:rFonts w:hint="eastAsia" w:ascii="宋体" w:hAnsi="宋体"/>
          <w:szCs w:val="21"/>
        </w:rPr>
        <w:t>采购人根据采购项目的特殊要求规定的特定条件，并提供符合特殊要求的证明材料或者情况说明：本次项目需提供制造厂家的医疗器械生产许可证、所投产品的医疗器械注册证及供应商医疗器械经营许可证</w:t>
      </w:r>
      <w:r>
        <w:rPr>
          <w:rFonts w:hint="eastAsia" w:ascii="宋体" w:hAnsi="宋体" w:cs="宋体"/>
          <w:szCs w:val="21"/>
        </w:rPr>
        <w:t>。</w:t>
      </w:r>
    </w:p>
    <w:p>
      <w:pPr>
        <w:pStyle w:val="14"/>
        <w:widowControl/>
        <w:tabs>
          <w:tab w:val="left" w:pos="0"/>
        </w:tabs>
        <w:spacing w:line="360" w:lineRule="auto"/>
        <w:ind w:left="720" w:firstLine="0" w:firstLineChars="0"/>
        <w:rPr>
          <w:rFonts w:ascii="宋体" w:hAnsi="宋体"/>
          <w:szCs w:val="21"/>
        </w:rPr>
      </w:pPr>
    </w:p>
    <w:p>
      <w:pPr>
        <w:numPr>
          <w:ilvl w:val="0"/>
          <w:numId w:val="1"/>
        </w:numPr>
        <w:spacing w:after="120" w:line="360" w:lineRule="auto"/>
        <w:rPr>
          <w:rFonts w:ascii="宋体" w:hAnsi="宋体"/>
          <w:szCs w:val="21"/>
        </w:rPr>
      </w:pPr>
      <w:r>
        <w:rPr>
          <w:rFonts w:hint="eastAsia" w:ascii="宋体" w:hAnsi="宋体"/>
          <w:szCs w:val="21"/>
        </w:rPr>
        <w:t>采购项目技术参数见附件</w:t>
      </w:r>
    </w:p>
    <w:p>
      <w:pPr>
        <w:pStyle w:val="2"/>
        <w:ind w:firstLine="0" w:firstLineChars="0"/>
        <w:rPr>
          <w:rFonts w:ascii="宋体" w:hAnsi="宋体"/>
          <w:szCs w:val="21"/>
          <w:lang w:val="en-US"/>
        </w:rPr>
      </w:pPr>
    </w:p>
    <w:p>
      <w:pPr>
        <w:spacing w:after="120" w:line="360" w:lineRule="auto"/>
        <w:ind w:firstLine="5565" w:firstLineChars="2650"/>
        <w:rPr>
          <w:rFonts w:ascii="宋体" w:hAnsi="宋体"/>
          <w:szCs w:val="21"/>
        </w:rPr>
      </w:pPr>
    </w:p>
    <w:p>
      <w:pPr>
        <w:spacing w:after="120" w:line="360" w:lineRule="auto"/>
        <w:jc w:val="right"/>
        <w:rPr>
          <w:rFonts w:ascii="宋体" w:hAnsi="宋体"/>
          <w:szCs w:val="21"/>
        </w:rPr>
      </w:pPr>
      <w:r>
        <w:rPr>
          <w:rFonts w:hint="eastAsia" w:ascii="宋体" w:hAnsi="宋体"/>
          <w:szCs w:val="21"/>
        </w:rPr>
        <w:t>南京市疾病预防控制中心</w:t>
      </w:r>
    </w:p>
    <w:p>
      <w:pPr>
        <w:spacing w:after="120" w:line="360" w:lineRule="auto"/>
        <w:jc w:val="right"/>
        <w:rPr>
          <w:rFonts w:ascii="宋体" w:hAnsi="宋体"/>
          <w:szCs w:val="21"/>
        </w:rPr>
      </w:pPr>
      <w:r>
        <w:rPr>
          <w:rFonts w:hint="eastAsia" w:ascii="宋体" w:hAnsi="宋体"/>
          <w:szCs w:val="21"/>
        </w:rPr>
        <w:t>2022年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widowControl/>
        <w:jc w:val="center"/>
        <w:rPr>
          <w:rFonts w:ascii="宋体" w:hAnsi="宋体" w:cs="宋体"/>
          <w:b/>
          <w:bCs/>
          <w:color w:val="000000"/>
          <w:kern w:val="0"/>
          <w:sz w:val="28"/>
          <w:szCs w:val="28"/>
        </w:rPr>
      </w:pPr>
    </w:p>
    <w:p>
      <w:pPr>
        <w:pStyle w:val="2"/>
        <w:ind w:firstLine="0" w:firstLineChars="0"/>
        <w:rPr>
          <w:lang w:val="en-US"/>
        </w:rPr>
      </w:pPr>
    </w:p>
    <w:p>
      <w:pPr>
        <w:widowControl/>
        <w:jc w:val="center"/>
        <w:rPr>
          <w:rFonts w:ascii="宋体" w:hAnsi="宋体" w:cs="宋体"/>
          <w:b/>
          <w:bCs/>
          <w:color w:val="000000"/>
          <w:kern w:val="0"/>
          <w:sz w:val="28"/>
          <w:szCs w:val="28"/>
        </w:rPr>
      </w:pPr>
    </w:p>
    <w:p>
      <w:pPr>
        <w:widowControl/>
        <w:rPr>
          <w:rFonts w:ascii="宋体" w:hAnsi="宋体" w:cs="宋体"/>
          <w:b/>
          <w:bCs/>
          <w:color w:val="000000"/>
          <w:kern w:val="0"/>
          <w:sz w:val="28"/>
          <w:szCs w:val="28"/>
        </w:rPr>
      </w:pPr>
    </w:p>
    <w:p>
      <w:pPr>
        <w:pStyle w:val="2"/>
        <w:rPr>
          <w:rFonts w:ascii="宋体" w:hAnsi="宋体" w:cs="宋体"/>
          <w:b/>
          <w:bCs/>
          <w:color w:val="000000"/>
          <w:kern w:val="0"/>
          <w:sz w:val="28"/>
          <w:szCs w:val="28"/>
        </w:rPr>
      </w:pPr>
    </w:p>
    <w:p>
      <w:pPr>
        <w:pStyle w:val="2"/>
        <w:rPr>
          <w:rFonts w:ascii="宋体" w:hAnsi="宋体" w:cs="宋体"/>
          <w:b/>
          <w:bCs/>
          <w:color w:val="000000"/>
          <w:kern w:val="0"/>
          <w:sz w:val="28"/>
          <w:szCs w:val="28"/>
        </w:rPr>
      </w:pPr>
      <w:bookmarkStart w:id="1" w:name="_GoBack"/>
      <w:bookmarkEnd w:id="1"/>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第一章评审标准</w:t>
      </w:r>
    </w:p>
    <w:p>
      <w:pPr>
        <w:spacing w:line="360" w:lineRule="auto"/>
        <w:ind w:firstLine="420" w:firstLineChars="200"/>
        <w:rPr>
          <w:rFonts w:ascii="Arial" w:hAnsi="Arial" w:cs="Arial"/>
        </w:rPr>
      </w:pPr>
      <w:r>
        <w:rPr>
          <w:rFonts w:ascii="Arial" w:hAnsi="Arial" w:cs="Arial"/>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10"/>
        <w:tblW w:w="9747"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序号</w:t>
            </w:r>
          </w:p>
        </w:tc>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评分因素</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940" w:firstLineChars="1400"/>
              <w:rPr>
                <w:rFonts w:ascii="宋体" w:hAnsi="宋体"/>
                <w:szCs w:val="21"/>
              </w:rPr>
            </w:pPr>
            <w:r>
              <w:rPr>
                <w:rFonts w:hint="eastAsia" w:ascii="宋体" w:hAnsi="宋体"/>
                <w:szCs w:val="21"/>
              </w:rPr>
              <w:t>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价格</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rPr>
            </w:pPr>
            <w:r>
              <w:rPr>
                <w:rFonts w:hint="eastAsia" w:ascii="宋体" w:hAnsi="宋体" w:cs="宋体"/>
                <w:kern w:val="0"/>
                <w:szCs w:val="21"/>
              </w:rPr>
              <w:t>本次招标，以进入详细评审的各投标人评标价的最低值为A值，A值的价格分为满分，即30分。其他投标人的价格分统一按照以下公式计算：投标人评标价得分=（A／该投标人评标价）×30。</w:t>
            </w:r>
          </w:p>
          <w:p>
            <w:pPr>
              <w:spacing w:line="360" w:lineRule="auto"/>
              <w:rPr>
                <w:rFonts w:ascii="宋体" w:hAnsi="宋体"/>
                <w:szCs w:val="21"/>
              </w:rPr>
            </w:pPr>
            <w:r>
              <w:rPr>
                <w:rFonts w:hint="eastAsia" w:ascii="宋体" w:hAnsi="宋体" w:cs="宋体"/>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w:t>
            </w:r>
          </w:p>
        </w:tc>
        <w:tc>
          <w:tcPr>
            <w:tcW w:w="1103"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技术</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rPr>
            </w:pPr>
            <w:r>
              <w:rPr>
                <w:rFonts w:hint="eastAsia" w:ascii="宋体" w:hAnsi="宋体" w:cs="宋体"/>
                <w:szCs w:val="21"/>
              </w:rPr>
              <w:t>投标文件技术参数完全符合招标文件要求得40分。</w:t>
            </w:r>
            <w:r>
              <w:rPr>
                <w:rFonts w:hint="eastAsia"/>
                <w:color w:val="000000"/>
                <w:szCs w:val="21"/>
              </w:rPr>
              <w:t>“★”条款</w:t>
            </w:r>
            <w:r>
              <w:rPr>
                <w:rFonts w:hint="eastAsia"/>
                <w:color w:val="000000"/>
              </w:rPr>
              <w:t>为重要参数</w:t>
            </w:r>
            <w:r>
              <w:rPr>
                <w:rFonts w:hint="eastAsia"/>
                <w:color w:val="000000"/>
                <w:szCs w:val="21"/>
              </w:rPr>
              <w:t>，</w:t>
            </w:r>
            <w:r>
              <w:rPr>
                <w:rFonts w:hint="eastAsia"/>
                <w:color w:val="000000"/>
              </w:rPr>
              <w:t>出现负偏离一项扣7分；其它常规技术参数出现负偏离一项扣1分。扣完为止。</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3.1</w:t>
            </w:r>
          </w:p>
        </w:tc>
        <w:tc>
          <w:tcPr>
            <w:tcW w:w="1103" w:type="dxa"/>
            <w:vMerge w:val="restart"/>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服务</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cs="宋体"/>
                <w:kern w:val="0"/>
                <w:szCs w:val="21"/>
              </w:rPr>
              <w:t>投标人须提交本设备免费质保期的书面承诺书，质保期满足招标文件要求的得</w:t>
            </w:r>
            <w:r>
              <w:rPr>
                <w:rFonts w:hint="eastAsia" w:ascii="宋体" w:hAnsi="宋体" w:cs="宋体"/>
                <w:kern w:val="0"/>
                <w:szCs w:val="21"/>
                <w:lang w:val="en-US" w:eastAsia="zh-CN"/>
              </w:rPr>
              <w:t>2</w:t>
            </w:r>
            <w:r>
              <w:rPr>
                <w:rFonts w:hint="eastAsia" w:ascii="宋体" w:hAnsi="宋体" w:cs="宋体"/>
                <w:kern w:val="0"/>
                <w:szCs w:val="21"/>
              </w:rPr>
              <w:t>分（质保期1年），质保期超过招标文件规定的年限，每延长一年质保加</w:t>
            </w:r>
            <w:r>
              <w:rPr>
                <w:rFonts w:hint="eastAsia" w:ascii="宋体" w:hAnsi="宋体" w:cs="宋体"/>
                <w:kern w:val="0"/>
                <w:szCs w:val="21"/>
                <w:lang w:val="en-US" w:eastAsia="zh-CN"/>
              </w:rPr>
              <w:t>2</w:t>
            </w:r>
            <w:r>
              <w:rPr>
                <w:rFonts w:hint="eastAsia" w:ascii="宋体" w:hAnsi="宋体" w:cs="宋体"/>
                <w:kern w:val="0"/>
                <w:szCs w:val="21"/>
              </w:rPr>
              <w:t>分，最多可加</w:t>
            </w:r>
            <w:r>
              <w:rPr>
                <w:rFonts w:hint="eastAsia" w:ascii="宋体" w:hAnsi="宋体" w:cs="宋体"/>
                <w:kern w:val="0"/>
                <w:szCs w:val="21"/>
                <w:lang w:val="en-US" w:eastAsia="zh-CN"/>
              </w:rPr>
              <w:t>8</w:t>
            </w:r>
            <w:r>
              <w:rPr>
                <w:rFonts w:hint="eastAsia" w:ascii="宋体" w:hAnsi="宋体" w:cs="宋体"/>
                <w:kern w:val="0"/>
                <w:szCs w:val="21"/>
              </w:rPr>
              <w:t>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3.2</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cs="宋体"/>
                <w:szCs w:val="21"/>
              </w:rPr>
            </w:pPr>
            <w:r>
              <w:rPr>
                <w:rFonts w:hint="eastAsia"/>
                <w:color w:val="auto"/>
                <w:kern w:val="0"/>
                <w:sz w:val="21"/>
                <w:szCs w:val="21"/>
                <w:highlight w:val="none"/>
              </w:rPr>
              <w:t>故障服务30分钟内响应，4小时内到达现场得3分；故障服务30分钟内响应，4-8小时内到达现场得2分；故障服务响应时间超过30分钟响应，8小时至24小时得1分，24小时以上到达现场不得分。（须提供</w:t>
            </w:r>
            <w:r>
              <w:rPr>
                <w:rFonts w:hint="eastAsia"/>
                <w:color w:val="auto"/>
                <w:kern w:val="0"/>
                <w:sz w:val="21"/>
                <w:szCs w:val="21"/>
                <w:highlight w:val="none"/>
                <w:lang w:val="en-US" w:eastAsia="zh-CN"/>
              </w:rPr>
              <w:t>供应商</w:t>
            </w:r>
            <w:r>
              <w:rPr>
                <w:rFonts w:hint="eastAsia"/>
                <w:color w:val="auto"/>
                <w:kern w:val="0"/>
                <w:sz w:val="21"/>
                <w:szCs w:val="21"/>
                <w:highlight w:val="none"/>
              </w:rPr>
              <w:t>对本项目</w:t>
            </w:r>
            <w:r>
              <w:rPr>
                <w:rFonts w:hint="eastAsia"/>
                <w:color w:val="auto"/>
                <w:kern w:val="0"/>
                <w:sz w:val="21"/>
                <w:szCs w:val="21"/>
                <w:highlight w:val="none"/>
                <w:lang w:val="en-US" w:eastAsia="zh-CN"/>
              </w:rPr>
              <w:t>的</w:t>
            </w:r>
            <w:r>
              <w:rPr>
                <w:rFonts w:hint="eastAsia"/>
                <w:color w:val="auto"/>
                <w:kern w:val="0"/>
                <w:sz w:val="21"/>
                <w:szCs w:val="21"/>
                <w:highlight w:val="none"/>
              </w:rPr>
              <w:t>售后服务承诺书</w:t>
            </w:r>
            <w:r>
              <w:rPr>
                <w:rFonts w:hint="eastAsia"/>
                <w:color w:val="auto"/>
                <w:kern w:val="0"/>
                <w:sz w:val="21"/>
                <w:szCs w:val="21"/>
                <w:highlight w:val="none"/>
                <w:lang w:val="en-US" w:eastAsia="zh-CN"/>
              </w:rPr>
              <w:t>并承诺成交后按承诺事项执行</w:t>
            </w:r>
            <w:r>
              <w:rPr>
                <w:rFonts w:hint="eastAsia"/>
                <w:color w:val="auto"/>
                <w:kern w:val="0"/>
                <w:sz w:val="21"/>
                <w:szCs w:val="21"/>
                <w:highlight w:val="none"/>
              </w:rPr>
              <w:t>，不提供不得分）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3.3</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szCs w:val="21"/>
              </w:rPr>
            </w:pPr>
            <w:r>
              <w:rPr>
                <w:rFonts w:hint="eastAsia"/>
                <w:szCs w:val="21"/>
              </w:rPr>
              <w:t>评委根据供应商提供的售后网点分布情况（提供网点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szCs w:val="21"/>
                <w:lang w:val="en-US" w:eastAsia="zh-CN"/>
              </w:rPr>
              <w:t>6</w:t>
            </w:r>
            <w:r>
              <w:rPr>
                <w:rFonts w:hint="eastAsia"/>
                <w:szCs w:val="21"/>
              </w:rPr>
              <w:t>分；分布较广、备件较齐全、人员专业性，保障性较强得3分；分布一般、备件不齐全、人员专业性，保障性一般得1分；未提供的不得分。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trPr>
        <w:tc>
          <w:tcPr>
            <w:tcW w:w="662" w:type="dxa"/>
            <w:tcBorders>
              <w:top w:val="single" w:color="auto" w:sz="4" w:space="0"/>
              <w:left w:val="single" w:color="auto" w:sz="4" w:space="0"/>
              <w:right w:val="single" w:color="auto" w:sz="4" w:space="0"/>
            </w:tcBorders>
            <w:noWrap/>
            <w:vAlign w:val="center"/>
          </w:tcPr>
          <w:p>
            <w:r>
              <w:rPr>
                <w:rFonts w:hint="eastAsia"/>
              </w:rPr>
              <w:t>3.4</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szCs w:val="21"/>
              </w:rPr>
            </w:pPr>
            <w:r>
              <w:rPr>
                <w:rFonts w:hint="eastAsia"/>
                <w:szCs w:val="21"/>
              </w:rPr>
              <w:t>评委根据供应商提供培训方案进行比较。培训方案完整，培训内容详细得3分；培训方案较完整，培训内容较详细得2；培训方案不完整，培训内容不详细不得分。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业绩</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szCs w:val="21"/>
              </w:rPr>
              <w:t>提供自2020年1月1日以来投标人完成的类似合同，</w:t>
            </w:r>
            <w:r>
              <w:rPr>
                <w:rFonts w:hint="eastAsia" w:ascii="宋体" w:hAnsi="宋体" w:cs="宋体"/>
                <w:szCs w:val="21"/>
              </w:rPr>
              <w:t>每提供一个得2分，满分10分。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合计</w:t>
            </w:r>
          </w:p>
        </w:tc>
        <w:tc>
          <w:tcPr>
            <w:tcW w:w="798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100分</w:t>
            </w:r>
          </w:p>
        </w:tc>
      </w:tr>
    </w:tbl>
    <w:p>
      <w:pPr>
        <w:pStyle w:val="2"/>
        <w:ind w:firstLine="0" w:firstLineChars="0"/>
        <w:rPr>
          <w:rFonts w:ascii="Arial" w:hAnsi="Arial" w:cs="Arial"/>
        </w:rPr>
      </w:pPr>
    </w:p>
    <w:p>
      <w:pPr>
        <w:spacing w:line="360" w:lineRule="auto"/>
        <w:rPr>
          <w:rFonts w:ascii="Arial" w:hAnsi="Arial" w:cs="Arial"/>
          <w:b/>
          <w:sz w:val="22"/>
          <w:szCs w:val="28"/>
        </w:rPr>
      </w:pPr>
      <w:r>
        <w:rPr>
          <w:rFonts w:ascii="Arial" w:hAnsi="Arial" w:cs="Arial"/>
          <w:b/>
          <w:sz w:val="22"/>
          <w:szCs w:val="28"/>
        </w:rPr>
        <w:t>说明：所有认证、证明和业绩均以有效清晰的证明文件的复印件为依据，原件备查。</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第二章   采购需求</w:t>
      </w:r>
    </w:p>
    <w:p>
      <w:pPr>
        <w:widowControl/>
        <w:shd w:val="clear" w:color="auto" w:fill="FFFFFF"/>
        <w:spacing w:line="360" w:lineRule="auto"/>
        <w:rPr>
          <w:rFonts w:ascii="宋体" w:hAnsi="宋体" w:cs="宋体"/>
          <w:b/>
          <w:spacing w:val="8"/>
          <w:kern w:val="0"/>
          <w:szCs w:val="21"/>
        </w:rPr>
      </w:pPr>
      <w:r>
        <w:rPr>
          <w:rFonts w:hint="eastAsia" w:ascii="宋体" w:hAnsi="宋体" w:cs="宋体"/>
          <w:b/>
          <w:spacing w:val="8"/>
          <w:kern w:val="0"/>
          <w:szCs w:val="21"/>
        </w:rPr>
        <w:t>一、项目基本情况</w:t>
      </w:r>
    </w:p>
    <w:p>
      <w:pPr>
        <w:pStyle w:val="2"/>
        <w:spacing w:line="360" w:lineRule="auto"/>
        <w:ind w:firstLine="0" w:firstLineChars="0"/>
        <w:rPr>
          <w:rFonts w:asciiTheme="majorEastAsia" w:hAnsiTheme="majorEastAsia" w:eastAsiaTheme="majorEastAsia" w:cstheme="majorEastAsia"/>
          <w:spacing w:val="8"/>
          <w:szCs w:val="21"/>
          <w:lang w:val="en-US"/>
        </w:rPr>
      </w:pPr>
      <w:r>
        <w:rPr>
          <w:rFonts w:hint="eastAsia" w:asciiTheme="majorEastAsia" w:hAnsiTheme="majorEastAsia" w:eastAsiaTheme="majorEastAsia" w:cstheme="majorEastAsia"/>
          <w:spacing w:val="8"/>
          <w:szCs w:val="21"/>
          <w:lang w:val="en-US"/>
        </w:rPr>
        <w:t>1.1项目概述：该设备需满足于临床病原体基因检测，尤其是针对于当前的新型冠状病毒的检测，搭配快速的新冠检测试剂，可使客户将现有核酸扩增程序从常规的110分钟缩短到快速的45分钟左右。</w:t>
      </w:r>
    </w:p>
    <w:p>
      <w:pPr>
        <w:shd w:val="clear" w:color="auto" w:fill="FFFFFF" w:themeFill="background1"/>
        <w:spacing w:line="360" w:lineRule="auto"/>
        <w:ind w:firstLine="370"/>
        <w:rPr>
          <w:rFonts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1.2项目需求：南京市疾病预防控制中心快速PCR检测仪进</w:t>
      </w:r>
      <w:r>
        <w:rPr>
          <w:rFonts w:hint="eastAsia" w:ascii="宋体" w:hAnsi="宋体"/>
          <w:szCs w:val="21"/>
        </w:rPr>
        <w:t>行</w:t>
      </w:r>
      <w:r>
        <w:rPr>
          <w:rFonts w:hint="eastAsia" w:asciiTheme="majorEastAsia" w:hAnsiTheme="majorEastAsia" w:eastAsiaTheme="majorEastAsia" w:cstheme="majorEastAsia"/>
          <w:spacing w:val="8"/>
          <w:szCs w:val="21"/>
        </w:rPr>
        <w:t>招标采购，项目采用综合打分法，现欢迎符合相关条件的供应商参加投标。</w:t>
      </w:r>
    </w:p>
    <w:p>
      <w:pPr>
        <w:shd w:val="clear" w:color="auto" w:fill="FFFFFF" w:themeFill="background1"/>
        <w:spacing w:line="360" w:lineRule="auto"/>
        <w:ind w:firstLine="370"/>
        <w:rPr>
          <w:rFonts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1.3项目名称：南京市疾病预防控制中心快速PCR检测仪</w:t>
      </w:r>
      <w:r>
        <w:rPr>
          <w:rFonts w:hint="eastAsia" w:ascii="宋体" w:hAnsi="宋体"/>
          <w:szCs w:val="21"/>
        </w:rPr>
        <w:t>进行</w:t>
      </w:r>
      <w:r>
        <w:rPr>
          <w:rFonts w:hint="eastAsia" w:asciiTheme="majorEastAsia" w:hAnsiTheme="majorEastAsia" w:eastAsiaTheme="majorEastAsia" w:cstheme="majorEastAsia"/>
          <w:spacing w:val="8"/>
          <w:szCs w:val="21"/>
        </w:rPr>
        <w:t>招标采购</w:t>
      </w:r>
    </w:p>
    <w:p>
      <w:pPr>
        <w:shd w:val="clear" w:color="auto" w:fill="FFFFFF" w:themeFill="background1"/>
        <w:spacing w:line="360" w:lineRule="auto"/>
        <w:ind w:firstLine="370"/>
        <w:rPr>
          <w:rFonts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 xml:space="preserve">1.4设备采购配置及预算金额：10 万元 </w:t>
      </w:r>
    </w:p>
    <w:p>
      <w:pPr>
        <w:pStyle w:val="2"/>
        <w:ind w:firstLine="420"/>
      </w:pPr>
    </w:p>
    <w:tbl>
      <w:tblPr>
        <w:tblStyle w:val="10"/>
        <w:tblW w:w="4962" w:type="pct"/>
        <w:tblInd w:w="-180" w:type="dxa"/>
        <w:tblLayout w:type="autofit"/>
        <w:tblCellMar>
          <w:top w:w="0" w:type="dxa"/>
          <w:left w:w="0" w:type="dxa"/>
          <w:bottom w:w="0" w:type="dxa"/>
          <w:right w:w="0" w:type="dxa"/>
        </w:tblCellMar>
      </w:tblPr>
      <w:tblGrid>
        <w:gridCol w:w="1404"/>
        <w:gridCol w:w="4188"/>
        <w:gridCol w:w="1340"/>
        <w:gridCol w:w="1341"/>
      </w:tblGrid>
      <w:tr>
        <w:tblPrEx>
          <w:tblCellMar>
            <w:top w:w="0" w:type="dxa"/>
            <w:left w:w="0" w:type="dxa"/>
            <w:bottom w:w="0" w:type="dxa"/>
            <w:right w:w="0" w:type="dxa"/>
          </w:tblCellMar>
        </w:tblPrEx>
        <w:trPr>
          <w:trHeight w:val="496"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2"/>
              <w:ind w:firstLine="0" w:firstLineChars="0"/>
              <w:jc w:val="center"/>
              <w:rPr>
                <w:rFonts w:ascii="宋体" w:hAnsi="宋体" w:cs="宋体"/>
              </w:rPr>
            </w:pPr>
            <w:r>
              <w:rPr>
                <w:szCs w:val="21"/>
              </w:rPr>
              <w:t>序号</w:t>
            </w:r>
          </w:p>
        </w:tc>
        <w:tc>
          <w:tcPr>
            <w:tcW w:w="4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2"/>
              <w:ind w:firstLine="0" w:firstLineChars="0"/>
              <w:jc w:val="center"/>
              <w:rPr>
                <w:rFonts w:ascii="宋体" w:hAnsi="宋体" w:cs="宋体"/>
              </w:rPr>
            </w:pPr>
            <w:r>
              <w:rPr>
                <w:szCs w:val="21"/>
              </w:rPr>
              <w:t>名称</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2"/>
              <w:ind w:firstLine="0" w:firstLineChars="0"/>
              <w:jc w:val="center"/>
              <w:rPr>
                <w:rFonts w:ascii="宋体" w:hAnsi="宋体" w:cs="宋体"/>
                <w:sz w:val="20"/>
              </w:rPr>
            </w:pPr>
            <w:r>
              <w:rPr>
                <w:szCs w:val="21"/>
              </w:rPr>
              <w:t>单位</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0"/>
              </w:rPr>
            </w:pPr>
            <w:r>
              <w:rPr>
                <w:rFonts w:hint="eastAsia" w:ascii="宋体" w:hAnsi="宋体" w:cs="宋体"/>
                <w:sz w:val="20"/>
              </w:rPr>
              <w:t>数量</w:t>
            </w:r>
          </w:p>
        </w:tc>
      </w:tr>
      <w:tr>
        <w:tblPrEx>
          <w:tblCellMar>
            <w:top w:w="0" w:type="dxa"/>
            <w:left w:w="0" w:type="dxa"/>
            <w:bottom w:w="0" w:type="dxa"/>
            <w:right w:w="0" w:type="dxa"/>
          </w:tblCellMar>
        </w:tblPrEx>
        <w:trPr>
          <w:trHeight w:val="496"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2"/>
              <w:ind w:firstLine="0" w:firstLineChars="0"/>
              <w:jc w:val="center"/>
              <w:rPr>
                <w:rFonts w:ascii="宋体" w:hAnsi="宋体" w:cs="宋体"/>
                <w:lang w:val="en-US"/>
              </w:rPr>
            </w:pPr>
            <w:r>
              <w:rPr>
                <w:rFonts w:hint="eastAsia"/>
                <w:szCs w:val="21"/>
              </w:rPr>
              <w:t>1</w:t>
            </w:r>
          </w:p>
        </w:tc>
        <w:tc>
          <w:tcPr>
            <w:tcW w:w="4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firstLine="0" w:firstLineChars="0"/>
              <w:jc w:val="center"/>
              <w:rPr>
                <w:color w:val="000000"/>
                <w:sz w:val="20"/>
              </w:rPr>
            </w:pPr>
            <w:r>
              <w:rPr>
                <w:szCs w:val="21"/>
              </w:rPr>
              <w:t>主机</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firstLine="0" w:firstLineChars="0"/>
              <w:jc w:val="center"/>
              <w:rPr>
                <w:rFonts w:ascii="宋体" w:hAnsi="宋体" w:cs="宋体"/>
                <w:sz w:val="20"/>
                <w:lang w:val="en-US"/>
              </w:rPr>
            </w:pPr>
            <w:r>
              <w:rPr>
                <w:szCs w:val="21"/>
              </w:rPr>
              <w:t>台</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0"/>
              </w:rPr>
            </w:pPr>
            <w:r>
              <w:rPr>
                <w:rFonts w:hint="eastAsia" w:ascii="宋体" w:hAnsi="宋体" w:cs="宋体"/>
                <w:sz w:val="20"/>
              </w:rPr>
              <w:t>1</w:t>
            </w:r>
          </w:p>
        </w:tc>
      </w:tr>
      <w:tr>
        <w:tblPrEx>
          <w:tblCellMar>
            <w:top w:w="0" w:type="dxa"/>
            <w:left w:w="0" w:type="dxa"/>
            <w:bottom w:w="0" w:type="dxa"/>
            <w:right w:w="0" w:type="dxa"/>
          </w:tblCellMar>
        </w:tblPrEx>
        <w:trPr>
          <w:trHeight w:val="496"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rPr>
            </w:pPr>
            <w:r>
              <w:rPr>
                <w:rFonts w:hint="eastAsia" w:ascii="宋体" w:hAnsi="宋体" w:cs="宋体"/>
              </w:rPr>
              <w:t>2</w:t>
            </w:r>
          </w:p>
        </w:tc>
        <w:tc>
          <w:tcPr>
            <w:tcW w:w="4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firstLine="0" w:firstLineChars="0"/>
              <w:jc w:val="center"/>
              <w:rPr>
                <w:szCs w:val="21"/>
              </w:rPr>
            </w:pPr>
            <w:r>
              <w:rPr>
                <w:rFonts w:hint="eastAsia"/>
                <w:szCs w:val="21"/>
                <w:lang w:val="en-US"/>
              </w:rPr>
              <w:t>电源线</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firstLine="0" w:firstLineChars="0"/>
              <w:jc w:val="center"/>
              <w:rPr>
                <w:szCs w:val="21"/>
                <w:lang w:val="en-US"/>
              </w:rPr>
            </w:pPr>
            <w:r>
              <w:rPr>
                <w:rFonts w:hint="eastAsia"/>
                <w:szCs w:val="21"/>
                <w:lang w:val="en-US"/>
              </w:rPr>
              <w:t>根</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firstLine="0" w:firstLineChars="0"/>
              <w:jc w:val="center"/>
              <w:rPr>
                <w:szCs w:val="21"/>
                <w:lang w:val="en-US"/>
              </w:rPr>
            </w:pPr>
            <w:r>
              <w:rPr>
                <w:rFonts w:hint="eastAsia"/>
                <w:szCs w:val="21"/>
              </w:rPr>
              <w:t>1</w:t>
            </w:r>
          </w:p>
        </w:tc>
      </w:tr>
      <w:tr>
        <w:tblPrEx>
          <w:tblCellMar>
            <w:top w:w="0" w:type="dxa"/>
            <w:left w:w="0" w:type="dxa"/>
            <w:bottom w:w="0" w:type="dxa"/>
            <w:right w:w="0" w:type="dxa"/>
          </w:tblCellMar>
        </w:tblPrEx>
        <w:trPr>
          <w:trHeight w:val="496"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rPr>
            </w:pPr>
            <w:r>
              <w:rPr>
                <w:rFonts w:hint="eastAsia" w:ascii="宋体" w:hAnsi="宋体" w:cs="宋体"/>
              </w:rPr>
              <w:t>3</w:t>
            </w:r>
          </w:p>
        </w:tc>
        <w:tc>
          <w:tcPr>
            <w:tcW w:w="4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firstLine="0" w:firstLineChars="0"/>
              <w:jc w:val="center"/>
              <w:rPr>
                <w:szCs w:val="21"/>
                <w:lang w:val="en-US"/>
              </w:rPr>
            </w:pPr>
            <w:r>
              <w:rPr>
                <w:rFonts w:hint="eastAsia"/>
                <w:szCs w:val="21"/>
                <w:lang w:val="en-US"/>
              </w:rPr>
              <w:t>电源适配器</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firstLine="0" w:firstLineChars="0"/>
              <w:jc w:val="center"/>
              <w:rPr>
                <w:szCs w:val="21"/>
                <w:lang w:val="en-US"/>
              </w:rPr>
            </w:pPr>
            <w:r>
              <w:rPr>
                <w:rFonts w:hint="eastAsia"/>
                <w:szCs w:val="21"/>
                <w:lang w:val="en-US"/>
              </w:rPr>
              <w:t>根</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firstLine="0" w:firstLineChars="0"/>
              <w:jc w:val="center"/>
              <w:rPr>
                <w:szCs w:val="21"/>
                <w:lang w:val="en-US"/>
              </w:rPr>
            </w:pPr>
            <w:r>
              <w:rPr>
                <w:rFonts w:hint="eastAsia"/>
                <w:szCs w:val="21"/>
              </w:rPr>
              <w:t>1</w:t>
            </w:r>
          </w:p>
        </w:tc>
      </w:tr>
    </w:tbl>
    <w:p>
      <w:pPr>
        <w:autoSpaceDE w:val="0"/>
        <w:autoSpaceDN w:val="0"/>
        <w:adjustRightInd w:val="0"/>
        <w:spacing w:line="360" w:lineRule="auto"/>
        <w:rPr>
          <w:rFonts w:ascii="宋体" w:hAnsi="宋体" w:cs="宋体"/>
          <w:szCs w:val="21"/>
        </w:rPr>
      </w:pPr>
      <w:r>
        <w:rPr>
          <w:rFonts w:hint="eastAsia" w:ascii="宋体" w:hAnsi="宋体" w:cs="宋体"/>
          <w:szCs w:val="21"/>
        </w:rPr>
        <w:t xml:space="preserve"> 1.5不接受进口设备投标</w:t>
      </w:r>
    </w:p>
    <w:p>
      <w:pPr>
        <w:autoSpaceDE w:val="0"/>
        <w:autoSpaceDN w:val="0"/>
        <w:adjustRightInd w:val="0"/>
        <w:spacing w:line="360" w:lineRule="auto"/>
        <w:ind w:firstLine="210" w:firstLineChars="100"/>
        <w:rPr>
          <w:rFonts w:ascii="宋体" w:hAnsi="宋体" w:cs="宋体"/>
          <w:spacing w:val="8"/>
          <w:kern w:val="0"/>
          <w:szCs w:val="21"/>
        </w:rPr>
      </w:pPr>
      <w:r>
        <w:rPr>
          <w:rFonts w:hint="eastAsia" w:ascii="宋体" w:hAnsi="宋体" w:cs="宋体"/>
          <w:szCs w:val="21"/>
        </w:rPr>
        <w:t>1.6</w:t>
      </w:r>
      <w:r>
        <w:rPr>
          <w:rFonts w:hint="eastAsia" w:ascii="宋体" w:hAnsi="宋体" w:cs="宋体"/>
          <w:spacing w:val="8"/>
          <w:kern w:val="0"/>
          <w:szCs w:val="21"/>
        </w:rPr>
        <w:t>合同履行期限：合同签订之日起十五日内完成送货</w:t>
      </w:r>
    </w:p>
    <w:p>
      <w:pPr>
        <w:pStyle w:val="2"/>
        <w:ind w:firstLine="420"/>
        <w:rPr>
          <w:lang w:val="en-US"/>
        </w:rPr>
      </w:pPr>
    </w:p>
    <w:p>
      <w:pPr>
        <w:pStyle w:val="2"/>
        <w:numPr>
          <w:ilvl w:val="0"/>
          <w:numId w:val="4"/>
        </w:numPr>
        <w:ind w:firstLine="0" w:firstLineChars="0"/>
        <w:rPr>
          <w:b/>
          <w:szCs w:val="21"/>
        </w:rPr>
      </w:pPr>
      <w:r>
        <w:rPr>
          <w:rFonts w:hint="eastAsia"/>
          <w:b/>
          <w:szCs w:val="21"/>
        </w:rPr>
        <w:t>技术要求</w:t>
      </w:r>
    </w:p>
    <w:p>
      <w:pPr>
        <w:autoSpaceDE w:val="0"/>
        <w:autoSpaceDN w:val="0"/>
        <w:adjustRightInd w:val="0"/>
        <w:spacing w:line="360" w:lineRule="auto"/>
        <w:ind w:firstLine="454" w:firstLineChars="200"/>
        <w:jc w:val="left"/>
        <w:rPr>
          <w:rFonts w:ascii="宋体" w:hAnsi="宋体" w:cs="宋体"/>
          <w:b/>
          <w:bCs/>
          <w:spacing w:val="8"/>
          <w:kern w:val="0"/>
          <w:szCs w:val="21"/>
        </w:rPr>
      </w:pPr>
      <w:r>
        <w:rPr>
          <w:rFonts w:hint="eastAsia" w:ascii="宋体" w:hAnsi="宋体" w:cs="宋体"/>
          <w:b/>
          <w:bCs/>
          <w:spacing w:val="8"/>
          <w:kern w:val="0"/>
          <w:szCs w:val="21"/>
        </w:rPr>
        <w:t>对打“</w:t>
      </w:r>
      <w:r>
        <w:rPr>
          <w:rFonts w:hint="eastAsia"/>
        </w:rPr>
        <w:t>★</w:t>
      </w:r>
      <w:r>
        <w:rPr>
          <w:rFonts w:hint="eastAsia" w:ascii="宋体" w:hAnsi="宋体" w:cs="宋体"/>
          <w:b/>
          <w:bCs/>
          <w:spacing w:val="8"/>
          <w:kern w:val="0"/>
          <w:szCs w:val="21"/>
        </w:rPr>
        <w:t>”项必须在投标文件中提供技术支持资料（需要提供产品彩页或者提供官方网站链接及截图作为证明材料），未提供技术资料的视为未对招标文件实质性要求作出响应，评审时不予以认可。技术支持资料内容须清晰可见。</w:t>
      </w:r>
    </w:p>
    <w:p>
      <w:pPr>
        <w:pStyle w:val="2"/>
        <w:spacing w:line="360" w:lineRule="auto"/>
        <w:ind w:firstLine="0" w:firstLineChars="0"/>
        <w:jc w:val="left"/>
        <w:rPr>
          <w:rFonts w:ascii="宋体" w:hAnsi="宋体" w:cs="宋体"/>
          <w:szCs w:val="21"/>
          <w:lang w:val="en-US"/>
        </w:rPr>
      </w:pPr>
      <w:r>
        <w:rPr>
          <w:rFonts w:hint="eastAsia"/>
          <w:color w:val="000000"/>
          <w:lang w:val="en-US"/>
        </w:rPr>
        <w:t>1.</w:t>
      </w:r>
      <w:r>
        <w:rPr>
          <w:rFonts w:hint="eastAsia"/>
        </w:rPr>
        <w:t>★</w:t>
      </w:r>
      <w:r>
        <w:rPr>
          <w:rFonts w:hint="eastAsia" w:ascii="宋体" w:hAnsi="宋体" w:cs="宋体"/>
          <w:szCs w:val="21"/>
        </w:rPr>
        <w:t>样本容量</w:t>
      </w:r>
      <w:r>
        <w:rPr>
          <w:rFonts w:hint="eastAsia" w:cs="宋体"/>
          <w:szCs w:val="21"/>
        </w:rPr>
        <w:t>：</w:t>
      </w:r>
      <w:r>
        <w:rPr>
          <w:rFonts w:hint="eastAsia" w:ascii="宋体" w:hAnsi="宋体" w:cs="宋体"/>
          <w:szCs w:val="21"/>
          <w:lang w:val="en-US"/>
        </w:rPr>
        <w:t>16</w:t>
      </w:r>
      <w:r>
        <w:rPr>
          <w:rFonts w:hint="eastAsia" w:ascii="宋体" w:hAnsi="宋体" w:cs="宋体"/>
          <w:szCs w:val="21"/>
        </w:rPr>
        <w:t>×</w:t>
      </w:r>
      <w:r>
        <w:rPr>
          <w:rFonts w:hint="eastAsia" w:ascii="宋体" w:hAnsi="宋体" w:cs="宋体"/>
          <w:szCs w:val="21"/>
          <w:lang w:val="en-US"/>
        </w:rPr>
        <w:t>0.2ml</w:t>
      </w:r>
      <w:r>
        <w:rPr>
          <w:rFonts w:hint="eastAsia" w:ascii="宋体" w:hAnsi="宋体" w:cs="宋体"/>
          <w:szCs w:val="21"/>
        </w:rPr>
        <w:t>离心管（</w:t>
      </w:r>
      <w:r>
        <w:rPr>
          <w:rFonts w:hint="eastAsia" w:ascii="宋体" w:hAnsi="宋体" w:cs="宋体"/>
          <w:szCs w:val="21"/>
          <w:lang w:val="en-US"/>
        </w:rPr>
        <w:t>5-100</w:t>
      </w:r>
      <w:r>
        <w:rPr>
          <w:rFonts w:hint="eastAsia" w:ascii="宋体" w:hAnsi="宋体" w:cs="宋体"/>
          <w:szCs w:val="21"/>
        </w:rPr>
        <w:t>μ</w:t>
      </w:r>
      <w:r>
        <w:rPr>
          <w:rFonts w:hint="eastAsia" w:ascii="宋体" w:hAnsi="宋体" w:cs="宋体"/>
          <w:szCs w:val="21"/>
          <w:lang w:val="en-US"/>
        </w:rPr>
        <w:t>l</w:t>
      </w:r>
      <w:r>
        <w:rPr>
          <w:rFonts w:hint="eastAsia" w:ascii="宋体" w:hAnsi="宋体" w:cs="宋体"/>
          <w:szCs w:val="21"/>
        </w:rPr>
        <w:t>）</w:t>
      </w:r>
      <w:r>
        <w:rPr>
          <w:rFonts w:hint="eastAsia" w:ascii="宋体" w:hAnsi="宋体" w:cs="宋体"/>
          <w:szCs w:val="21"/>
          <w:lang w:val="en-US"/>
        </w:rPr>
        <w:t>,</w:t>
      </w:r>
      <w:r>
        <w:rPr>
          <w:rFonts w:hint="eastAsia" w:ascii="宋体" w:hAnsi="宋体" w:cs="宋体"/>
          <w:szCs w:val="21"/>
        </w:rPr>
        <w:t>适应常规</w:t>
      </w:r>
      <w:r>
        <w:rPr>
          <w:rFonts w:ascii="宋体" w:hAnsi="宋体" w:cs="宋体"/>
          <w:szCs w:val="21"/>
          <w:lang w:val="en-US"/>
        </w:rPr>
        <w:t>0.2ml</w:t>
      </w:r>
      <w:r>
        <w:rPr>
          <w:rFonts w:hint="eastAsia" w:ascii="宋体" w:hAnsi="宋体" w:cs="宋体"/>
          <w:szCs w:val="21"/>
          <w:lang w:val="en-US"/>
        </w:rPr>
        <w:t>8</w:t>
      </w:r>
      <w:r>
        <w:rPr>
          <w:rFonts w:hint="eastAsia" w:ascii="宋体" w:hAnsi="宋体" w:cs="宋体"/>
          <w:szCs w:val="21"/>
        </w:rPr>
        <w:t>联管</w:t>
      </w:r>
      <w:r>
        <w:rPr>
          <w:rFonts w:hint="eastAsia" w:ascii="宋体" w:hAnsi="宋体" w:cs="宋体"/>
          <w:szCs w:val="21"/>
          <w:lang w:val="en-US"/>
        </w:rPr>
        <w:t>及单管</w:t>
      </w:r>
    </w:p>
    <w:p>
      <w:pPr>
        <w:pStyle w:val="2"/>
        <w:spacing w:line="360" w:lineRule="auto"/>
        <w:ind w:firstLine="0" w:firstLineChars="0"/>
        <w:jc w:val="left"/>
        <w:rPr>
          <w:rFonts w:ascii="宋体" w:hAnsi="宋体" w:cs="宋体"/>
          <w:szCs w:val="21"/>
          <w:lang w:val="en-US"/>
        </w:rPr>
      </w:pPr>
      <w:r>
        <w:rPr>
          <w:rFonts w:hint="eastAsia" w:cs="宋体"/>
          <w:szCs w:val="21"/>
          <w:lang w:val="en-US"/>
        </w:rPr>
        <w:t>2.</w:t>
      </w:r>
      <w:r>
        <w:rPr>
          <w:rFonts w:hint="eastAsia" w:ascii="宋体" w:hAnsi="宋体" w:cs="宋体"/>
          <w:szCs w:val="21"/>
        </w:rPr>
        <w:t>反应灵敏度</w:t>
      </w:r>
      <w:r>
        <w:rPr>
          <w:rFonts w:hint="eastAsia" w:cs="宋体"/>
          <w:szCs w:val="21"/>
          <w:lang w:val="en-US"/>
        </w:rPr>
        <w:t>：</w:t>
      </w:r>
      <w:r>
        <w:rPr>
          <w:rFonts w:hint="eastAsia" w:ascii="宋体" w:hAnsi="宋体" w:cs="宋体"/>
          <w:szCs w:val="21"/>
          <w:lang w:val="en-US"/>
        </w:rPr>
        <w:t>10-10</w:t>
      </w:r>
      <w:r>
        <w:rPr>
          <w:rFonts w:hint="eastAsia" w:ascii="宋体" w:hAnsi="宋体" w:cs="宋体"/>
          <w:szCs w:val="21"/>
          <w:vertAlign w:val="superscript"/>
          <w:lang w:val="en-US"/>
        </w:rPr>
        <w:t>10</w:t>
      </w:r>
      <w:r>
        <w:rPr>
          <w:rFonts w:hint="eastAsia" w:ascii="宋体" w:hAnsi="宋体" w:cs="宋体"/>
          <w:szCs w:val="21"/>
          <w:lang w:val="en-US"/>
        </w:rPr>
        <w:t>Copies</w:t>
      </w:r>
    </w:p>
    <w:p>
      <w:pPr>
        <w:pStyle w:val="2"/>
        <w:spacing w:line="360" w:lineRule="auto"/>
        <w:ind w:firstLine="0" w:firstLineChars="0"/>
        <w:jc w:val="left"/>
        <w:rPr>
          <w:rFonts w:ascii="宋体" w:hAnsi="宋体" w:cs="宋体"/>
          <w:szCs w:val="21"/>
          <w:lang w:val="en-US"/>
        </w:rPr>
      </w:pPr>
      <w:r>
        <w:rPr>
          <w:rFonts w:hint="eastAsia" w:cs="宋体"/>
          <w:szCs w:val="21"/>
          <w:lang w:val="en-US"/>
        </w:rPr>
        <w:t>3.</w:t>
      </w:r>
      <w:r>
        <w:rPr>
          <w:rFonts w:hint="eastAsia" w:ascii="宋体" w:hAnsi="宋体" w:cs="宋体"/>
          <w:szCs w:val="21"/>
        </w:rPr>
        <w:t>荧光染料</w:t>
      </w:r>
      <w:r>
        <w:rPr>
          <w:rFonts w:hint="eastAsia" w:cs="宋体"/>
          <w:szCs w:val="21"/>
          <w:lang w:val="en-US"/>
        </w:rPr>
        <w:t>：</w:t>
      </w:r>
      <w:r>
        <w:rPr>
          <w:rFonts w:hint="eastAsia" w:ascii="宋体" w:hAnsi="宋体" w:cs="宋体"/>
          <w:szCs w:val="21"/>
          <w:lang w:val="en-US"/>
        </w:rPr>
        <w:t>F1：FAM</w:t>
      </w:r>
      <w:r>
        <w:rPr>
          <w:rFonts w:hint="eastAsia" w:ascii="宋体" w:hAnsi="宋体" w:cs="宋体"/>
          <w:szCs w:val="21"/>
        </w:rPr>
        <w:t>、</w:t>
      </w:r>
      <w:r>
        <w:rPr>
          <w:rFonts w:hint="eastAsia" w:ascii="宋体" w:hAnsi="宋体" w:cs="宋体"/>
          <w:szCs w:val="21"/>
          <w:lang w:val="en-US"/>
        </w:rPr>
        <w:t>SYBR GreenⅠ；F2：HEX</w:t>
      </w:r>
      <w:r>
        <w:rPr>
          <w:rFonts w:hint="eastAsia" w:ascii="宋体" w:hAnsi="宋体" w:cs="宋体"/>
          <w:szCs w:val="21"/>
        </w:rPr>
        <w:t>、</w:t>
      </w:r>
      <w:r>
        <w:rPr>
          <w:rFonts w:hint="eastAsia" w:ascii="宋体" w:hAnsi="宋体" w:cs="宋体"/>
          <w:szCs w:val="21"/>
          <w:lang w:val="en-US"/>
        </w:rPr>
        <w:t>VIC</w:t>
      </w:r>
      <w:r>
        <w:rPr>
          <w:rFonts w:hint="eastAsia" w:ascii="宋体" w:hAnsi="宋体" w:cs="宋体"/>
          <w:szCs w:val="21"/>
        </w:rPr>
        <w:t>、</w:t>
      </w:r>
      <w:r>
        <w:rPr>
          <w:rFonts w:hint="eastAsia" w:ascii="宋体" w:hAnsi="宋体" w:cs="宋体"/>
          <w:szCs w:val="21"/>
          <w:lang w:val="en-US"/>
        </w:rPr>
        <w:t>JOE、TET、YELLOW；F3:ROX；F4：CY5</w:t>
      </w:r>
    </w:p>
    <w:p>
      <w:pPr>
        <w:pStyle w:val="2"/>
        <w:spacing w:line="360" w:lineRule="auto"/>
        <w:ind w:firstLine="0" w:firstLineChars="0"/>
        <w:jc w:val="left"/>
        <w:rPr>
          <w:rFonts w:ascii="宋体" w:hAnsi="宋体" w:cs="宋体"/>
          <w:szCs w:val="21"/>
          <w:lang w:val="en-US"/>
        </w:rPr>
      </w:pPr>
      <w:r>
        <w:rPr>
          <w:rFonts w:hint="eastAsia" w:cs="宋体"/>
          <w:szCs w:val="21"/>
          <w:lang w:val="en-US"/>
        </w:rPr>
        <w:t>4.</w:t>
      </w:r>
      <w:r>
        <w:rPr>
          <w:rFonts w:hint="eastAsia" w:ascii="宋体" w:hAnsi="宋体" w:cs="宋体"/>
          <w:szCs w:val="21"/>
          <w:lang w:val="en-US"/>
        </w:rPr>
        <w:t>通道数</w:t>
      </w:r>
      <w:r>
        <w:rPr>
          <w:rFonts w:hint="eastAsia" w:cs="宋体"/>
          <w:szCs w:val="21"/>
          <w:lang w:val="en-US"/>
        </w:rPr>
        <w:t>：</w:t>
      </w:r>
      <w:r>
        <w:rPr>
          <w:rFonts w:hint="eastAsia" w:ascii="宋体" w:hAnsi="宋体" w:cs="宋体"/>
          <w:szCs w:val="21"/>
          <w:lang w:val="en-US"/>
        </w:rPr>
        <w:t>四通道</w:t>
      </w:r>
    </w:p>
    <w:p>
      <w:pPr>
        <w:pStyle w:val="2"/>
        <w:spacing w:line="360" w:lineRule="auto"/>
        <w:ind w:firstLine="0" w:firstLineChars="0"/>
        <w:jc w:val="left"/>
        <w:rPr>
          <w:rFonts w:ascii="宋体" w:hAnsi="宋体" w:cs="宋体"/>
          <w:szCs w:val="21"/>
          <w:lang w:val="en-US"/>
        </w:rPr>
      </w:pPr>
      <w:r>
        <w:rPr>
          <w:rFonts w:hint="eastAsia" w:cs="宋体"/>
          <w:szCs w:val="21"/>
          <w:lang w:val="en-US"/>
        </w:rPr>
        <w:t>5.</w:t>
      </w:r>
      <w:r>
        <w:rPr>
          <w:rFonts w:hint="eastAsia" w:ascii="宋体" w:hAnsi="宋体" w:cs="宋体"/>
          <w:szCs w:val="21"/>
          <w:lang w:val="en-US"/>
        </w:rPr>
        <w:t>光学系统</w:t>
      </w:r>
      <w:r>
        <w:rPr>
          <w:rFonts w:hint="eastAsia" w:cs="宋体"/>
          <w:szCs w:val="21"/>
          <w:lang w:val="en-US"/>
        </w:rPr>
        <w:t>：</w:t>
      </w:r>
      <w:r>
        <w:rPr>
          <w:rFonts w:ascii="宋体" w:hAnsi="宋体" w:cs="宋体"/>
          <w:szCs w:val="21"/>
          <w:lang w:val="en-US"/>
        </w:rPr>
        <w:t>LED</w:t>
      </w:r>
      <w:r>
        <w:rPr>
          <w:rFonts w:hint="eastAsia" w:ascii="宋体" w:hAnsi="宋体" w:cs="宋体"/>
          <w:szCs w:val="21"/>
          <w:lang w:val="en-US"/>
        </w:rPr>
        <w:t>光源</w:t>
      </w:r>
      <w:r>
        <w:rPr>
          <w:rFonts w:ascii="宋体" w:hAnsi="宋体" w:cs="宋体"/>
          <w:szCs w:val="21"/>
          <w:lang w:val="en-US"/>
        </w:rPr>
        <w:t>+</w:t>
      </w:r>
      <w:r>
        <w:rPr>
          <w:rFonts w:hint="eastAsia" w:ascii="宋体" w:hAnsi="宋体" w:cs="宋体"/>
          <w:szCs w:val="21"/>
          <w:lang w:val="en-US"/>
        </w:rPr>
        <w:t>光电传感器，免校准</w:t>
      </w:r>
    </w:p>
    <w:p>
      <w:pPr>
        <w:pStyle w:val="2"/>
        <w:spacing w:line="360" w:lineRule="auto"/>
        <w:ind w:firstLine="0" w:firstLineChars="0"/>
        <w:jc w:val="left"/>
        <w:rPr>
          <w:rFonts w:ascii="宋体" w:hAnsi="宋体" w:cs="宋体"/>
          <w:szCs w:val="21"/>
          <w:lang w:val="en-US"/>
        </w:rPr>
      </w:pPr>
      <w:r>
        <w:rPr>
          <w:rFonts w:hint="eastAsia" w:cs="宋体"/>
          <w:szCs w:val="21"/>
          <w:lang w:val="en-US"/>
        </w:rPr>
        <w:t>6.</w:t>
      </w:r>
      <w:r>
        <w:rPr>
          <w:rFonts w:hint="eastAsia" w:ascii="宋体" w:hAnsi="宋体" w:cs="宋体"/>
          <w:szCs w:val="21"/>
          <w:lang w:val="en-US"/>
        </w:rPr>
        <w:t>热盖温度范围</w:t>
      </w:r>
      <w:r>
        <w:rPr>
          <w:rFonts w:hint="eastAsia" w:cs="宋体"/>
          <w:szCs w:val="21"/>
          <w:lang w:val="en-US"/>
        </w:rPr>
        <w:t>：</w:t>
      </w:r>
      <w:r>
        <w:rPr>
          <w:rFonts w:hint="eastAsia" w:ascii="宋体" w:hAnsi="宋体" w:cs="宋体"/>
          <w:szCs w:val="21"/>
          <w:lang w:val="en-US"/>
        </w:rPr>
        <w:t>30-110℃</w:t>
      </w:r>
    </w:p>
    <w:p>
      <w:pPr>
        <w:pStyle w:val="2"/>
        <w:spacing w:line="360" w:lineRule="auto"/>
        <w:ind w:firstLine="0" w:firstLineChars="0"/>
        <w:jc w:val="left"/>
        <w:rPr>
          <w:rFonts w:ascii="宋体" w:hAnsi="宋体" w:cs="宋体"/>
          <w:szCs w:val="21"/>
          <w:lang w:val="en-US"/>
        </w:rPr>
      </w:pPr>
      <w:r>
        <w:rPr>
          <w:rFonts w:hint="eastAsia" w:cs="宋体"/>
          <w:szCs w:val="21"/>
          <w:lang w:val="en-US"/>
        </w:rPr>
        <w:t>7.</w:t>
      </w:r>
      <w:r>
        <w:rPr>
          <w:rFonts w:hint="eastAsia"/>
        </w:rPr>
        <w:t>★</w:t>
      </w:r>
      <w:r>
        <w:rPr>
          <w:rFonts w:hint="eastAsia" w:ascii="宋体" w:hAnsi="宋体" w:cs="宋体"/>
          <w:szCs w:val="21"/>
          <w:lang w:val="en-US"/>
        </w:rPr>
        <w:t>检测试剂</w:t>
      </w:r>
      <w:r>
        <w:rPr>
          <w:rFonts w:hint="eastAsia" w:cs="宋体"/>
          <w:szCs w:val="21"/>
          <w:lang w:val="en-US"/>
        </w:rPr>
        <w:t>：</w:t>
      </w:r>
      <w:r>
        <w:rPr>
          <w:rFonts w:hint="eastAsia" w:ascii="宋体" w:hAnsi="宋体" w:cs="宋体"/>
          <w:szCs w:val="21"/>
          <w:lang w:val="en-US"/>
        </w:rPr>
        <w:t>开放式检测试剂耗材（通用常规</w:t>
      </w:r>
      <w:r>
        <w:rPr>
          <w:rFonts w:hAnsi="宋体" w:cs="宋体"/>
          <w:szCs w:val="21"/>
          <w:lang w:val="en-US"/>
        </w:rPr>
        <w:t>PCR</w:t>
      </w:r>
      <w:r>
        <w:rPr>
          <w:rFonts w:hint="eastAsia" w:hAnsi="宋体" w:cs="宋体"/>
          <w:szCs w:val="21"/>
          <w:lang w:val="en-US"/>
        </w:rPr>
        <w:t>项目</w:t>
      </w:r>
      <w:r>
        <w:rPr>
          <w:rFonts w:hint="eastAsia" w:ascii="宋体" w:hAnsi="宋体" w:cs="宋体"/>
          <w:szCs w:val="21"/>
          <w:lang w:val="en-US"/>
        </w:rPr>
        <w:t>）</w:t>
      </w:r>
    </w:p>
    <w:p>
      <w:pPr>
        <w:pStyle w:val="2"/>
        <w:spacing w:line="360" w:lineRule="auto"/>
        <w:ind w:firstLine="0" w:firstLineChars="0"/>
        <w:jc w:val="left"/>
        <w:rPr>
          <w:rFonts w:ascii="宋体" w:hAnsi="宋体" w:cs="宋体"/>
          <w:szCs w:val="21"/>
        </w:rPr>
      </w:pPr>
      <w:r>
        <w:rPr>
          <w:rFonts w:hint="eastAsia" w:cs="宋体"/>
          <w:szCs w:val="21"/>
          <w:lang w:val="en-US"/>
        </w:rPr>
        <w:t>8.</w:t>
      </w:r>
      <w:r>
        <w:rPr>
          <w:rFonts w:hint="eastAsia" w:ascii="宋体" w:hAnsi="宋体" w:cs="宋体"/>
          <w:szCs w:val="21"/>
        </w:rPr>
        <w:t>温</w:t>
      </w:r>
      <w:r>
        <w:rPr>
          <w:rFonts w:hint="eastAsia" w:ascii="宋体" w:hAnsi="宋体" w:cs="宋体"/>
          <w:szCs w:val="21"/>
          <w:lang w:val="en-US"/>
        </w:rPr>
        <w:t>控</w:t>
      </w:r>
      <w:r>
        <w:rPr>
          <w:rFonts w:hint="eastAsia" w:ascii="宋体" w:hAnsi="宋体" w:cs="宋体"/>
          <w:szCs w:val="21"/>
        </w:rPr>
        <w:t>范围</w:t>
      </w:r>
      <w:r>
        <w:rPr>
          <w:rFonts w:hint="eastAsia" w:cs="宋体"/>
          <w:szCs w:val="21"/>
        </w:rPr>
        <w:t>：</w:t>
      </w:r>
      <w:r>
        <w:rPr>
          <w:rFonts w:hint="eastAsia" w:ascii="宋体" w:hAnsi="宋体" w:cs="宋体"/>
          <w:szCs w:val="21"/>
          <w:lang w:val="en-US"/>
        </w:rPr>
        <w:t>30</w:t>
      </w:r>
      <w:r>
        <w:rPr>
          <w:rFonts w:hint="eastAsia" w:ascii="宋体" w:hAnsi="宋体" w:cs="宋体"/>
          <w:szCs w:val="21"/>
        </w:rPr>
        <w:t>℃</w:t>
      </w:r>
      <w:r>
        <w:rPr>
          <w:rFonts w:hint="eastAsia" w:ascii="宋体" w:hAnsi="宋体" w:cs="宋体"/>
          <w:szCs w:val="21"/>
          <w:lang w:val="en-US"/>
        </w:rPr>
        <w:t>-100</w:t>
      </w:r>
      <w:r>
        <w:rPr>
          <w:rFonts w:hint="eastAsia" w:ascii="宋体" w:hAnsi="宋体" w:cs="宋体"/>
          <w:szCs w:val="21"/>
        </w:rPr>
        <w:t>℃</w:t>
      </w:r>
    </w:p>
    <w:p>
      <w:pPr>
        <w:pStyle w:val="2"/>
        <w:spacing w:line="360" w:lineRule="auto"/>
        <w:ind w:firstLine="0" w:firstLineChars="0"/>
        <w:jc w:val="left"/>
        <w:rPr>
          <w:rFonts w:ascii="宋体" w:hAnsi="宋体" w:cs="宋体"/>
          <w:szCs w:val="21"/>
        </w:rPr>
      </w:pPr>
      <w:r>
        <w:rPr>
          <w:rFonts w:hint="eastAsia" w:cs="宋体"/>
          <w:szCs w:val="21"/>
          <w:lang w:val="en-US"/>
        </w:rPr>
        <w:t>9.</w:t>
      </w:r>
      <w:r>
        <w:rPr>
          <w:rFonts w:hint="eastAsia" w:ascii="宋体" w:hAnsi="宋体" w:cs="宋体"/>
          <w:szCs w:val="21"/>
        </w:rPr>
        <w:t>均匀性</w:t>
      </w:r>
      <w:r>
        <w:rPr>
          <w:rFonts w:hint="eastAsia" w:cs="宋体"/>
          <w:szCs w:val="21"/>
        </w:rPr>
        <w:t>：</w:t>
      </w:r>
      <w:r>
        <w:rPr>
          <w:rFonts w:hint="eastAsia" w:ascii="宋体" w:hAnsi="宋体" w:cs="宋体"/>
          <w:szCs w:val="21"/>
        </w:rPr>
        <w:t>≤±</w:t>
      </w:r>
      <w:r>
        <w:rPr>
          <w:rFonts w:hint="eastAsia" w:ascii="宋体" w:hAnsi="宋体" w:cs="宋体"/>
          <w:szCs w:val="21"/>
          <w:lang w:val="en-US"/>
        </w:rPr>
        <w:t>0.1</w:t>
      </w:r>
      <w:r>
        <w:rPr>
          <w:rFonts w:hint="eastAsia" w:ascii="宋体" w:hAnsi="宋体" w:cs="宋体"/>
          <w:szCs w:val="21"/>
        </w:rPr>
        <w:t>℃</w:t>
      </w:r>
    </w:p>
    <w:p>
      <w:pPr>
        <w:pStyle w:val="2"/>
        <w:spacing w:line="360" w:lineRule="auto"/>
        <w:ind w:firstLine="0" w:firstLineChars="0"/>
        <w:jc w:val="left"/>
        <w:rPr>
          <w:rFonts w:ascii="宋体" w:hAnsi="宋体" w:cs="宋体"/>
          <w:szCs w:val="21"/>
        </w:rPr>
      </w:pPr>
      <w:r>
        <w:rPr>
          <w:rFonts w:hint="eastAsia" w:cs="宋体"/>
          <w:szCs w:val="21"/>
          <w:lang w:val="en-US"/>
        </w:rPr>
        <w:t>10.</w:t>
      </w:r>
      <w:r>
        <w:rPr>
          <w:rFonts w:hint="eastAsia" w:ascii="宋体" w:hAnsi="宋体" w:cs="宋体"/>
          <w:szCs w:val="21"/>
        </w:rPr>
        <w:t>温控精度</w:t>
      </w:r>
      <w:r>
        <w:rPr>
          <w:rFonts w:hint="eastAsia" w:cs="宋体"/>
          <w:szCs w:val="21"/>
        </w:rPr>
        <w:t>：</w:t>
      </w:r>
      <w:r>
        <w:rPr>
          <w:rFonts w:hint="eastAsia" w:ascii="宋体" w:hAnsi="宋体" w:cs="宋体"/>
          <w:szCs w:val="21"/>
        </w:rPr>
        <w:t>≤±</w:t>
      </w:r>
      <w:r>
        <w:rPr>
          <w:rFonts w:hint="eastAsia" w:ascii="宋体" w:hAnsi="宋体" w:cs="宋体"/>
          <w:szCs w:val="21"/>
          <w:lang w:val="en-US"/>
        </w:rPr>
        <w:t>0.1</w:t>
      </w:r>
      <w:r>
        <w:rPr>
          <w:rFonts w:hint="eastAsia" w:ascii="宋体" w:hAnsi="宋体" w:cs="宋体"/>
          <w:szCs w:val="21"/>
        </w:rPr>
        <w:t>℃</w:t>
      </w:r>
    </w:p>
    <w:p>
      <w:pPr>
        <w:pStyle w:val="2"/>
        <w:spacing w:line="360" w:lineRule="auto"/>
        <w:ind w:firstLine="0" w:firstLineChars="0"/>
        <w:jc w:val="left"/>
        <w:rPr>
          <w:rFonts w:ascii="宋体" w:hAnsi="宋体" w:cs="宋体"/>
          <w:szCs w:val="21"/>
          <w:lang w:val="en-US"/>
        </w:rPr>
      </w:pPr>
      <w:r>
        <w:rPr>
          <w:rFonts w:hint="eastAsia" w:cs="宋体"/>
          <w:szCs w:val="21"/>
          <w:lang w:val="en-US"/>
        </w:rPr>
        <w:t>11.</w:t>
      </w:r>
      <w:r>
        <w:rPr>
          <w:rFonts w:hint="eastAsia"/>
        </w:rPr>
        <w:t>★</w:t>
      </w:r>
      <w:r>
        <w:rPr>
          <w:rFonts w:hint="eastAsia" w:ascii="宋体" w:hAnsi="宋体" w:cs="宋体"/>
          <w:szCs w:val="21"/>
        </w:rPr>
        <w:t>升温速率</w:t>
      </w:r>
      <w:r>
        <w:rPr>
          <w:rFonts w:hint="eastAsia" w:cs="宋体"/>
          <w:szCs w:val="21"/>
        </w:rPr>
        <w:t>：</w:t>
      </w:r>
      <w:r>
        <w:rPr>
          <w:rFonts w:hint="eastAsia" w:ascii="宋体" w:hAnsi="宋体" w:cs="宋体"/>
          <w:szCs w:val="21"/>
        </w:rPr>
        <w:t>≥</w:t>
      </w:r>
      <w:r>
        <w:rPr>
          <w:rFonts w:hint="eastAsia" w:ascii="宋体" w:hAnsi="宋体" w:cs="宋体"/>
          <w:szCs w:val="21"/>
          <w:lang w:val="en-US"/>
        </w:rPr>
        <w:t>8</w:t>
      </w:r>
      <w:r>
        <w:rPr>
          <w:rFonts w:hint="eastAsia" w:ascii="宋体" w:hAnsi="宋体" w:cs="宋体"/>
          <w:szCs w:val="21"/>
        </w:rPr>
        <w:t>℃</w:t>
      </w:r>
      <w:r>
        <w:rPr>
          <w:rFonts w:hint="eastAsia" w:ascii="宋体" w:hAnsi="宋体" w:cs="宋体"/>
          <w:szCs w:val="21"/>
          <w:lang w:val="en-US"/>
        </w:rPr>
        <w:t>/s(MAX)</w:t>
      </w:r>
    </w:p>
    <w:p>
      <w:pPr>
        <w:pStyle w:val="2"/>
        <w:spacing w:line="360" w:lineRule="auto"/>
        <w:ind w:firstLine="0" w:firstLineChars="0"/>
        <w:jc w:val="left"/>
        <w:rPr>
          <w:rFonts w:ascii="宋体" w:hAnsi="宋体" w:cs="宋体"/>
          <w:szCs w:val="21"/>
          <w:lang w:val="en-US"/>
        </w:rPr>
      </w:pPr>
      <w:r>
        <w:rPr>
          <w:rFonts w:hint="eastAsia" w:cs="宋体"/>
          <w:szCs w:val="21"/>
          <w:lang w:val="en-US"/>
        </w:rPr>
        <w:t>12.</w:t>
      </w:r>
      <w:r>
        <w:rPr>
          <w:rFonts w:hint="eastAsia" w:ascii="宋体" w:hAnsi="宋体" w:cs="宋体"/>
          <w:szCs w:val="21"/>
        </w:rPr>
        <w:t>荧光强度检测重复性</w:t>
      </w:r>
      <w:r>
        <w:rPr>
          <w:rFonts w:hint="eastAsia" w:cs="宋体"/>
          <w:szCs w:val="21"/>
        </w:rPr>
        <w:t>：</w:t>
      </w:r>
      <w:r>
        <w:rPr>
          <w:rFonts w:hint="eastAsia" w:ascii="宋体" w:hAnsi="宋体" w:cs="宋体"/>
          <w:szCs w:val="21"/>
          <w:lang w:val="en-US"/>
        </w:rPr>
        <w:t>CV</w:t>
      </w:r>
      <w:r>
        <w:rPr>
          <w:rFonts w:hint="eastAsia" w:ascii="宋体" w:hAnsi="宋体" w:cs="宋体"/>
          <w:szCs w:val="21"/>
        </w:rPr>
        <w:t>≤</w:t>
      </w:r>
      <w:r>
        <w:rPr>
          <w:rFonts w:hint="eastAsia" w:ascii="宋体" w:hAnsi="宋体" w:cs="宋体"/>
          <w:szCs w:val="21"/>
          <w:lang w:val="en-US"/>
        </w:rPr>
        <w:t>0.5%</w:t>
      </w:r>
    </w:p>
    <w:p>
      <w:pPr>
        <w:pStyle w:val="2"/>
        <w:spacing w:line="360" w:lineRule="auto"/>
        <w:ind w:firstLine="0" w:firstLineChars="0"/>
        <w:jc w:val="left"/>
        <w:rPr>
          <w:rFonts w:ascii="宋体" w:hAnsi="宋体" w:cs="宋体"/>
          <w:szCs w:val="21"/>
          <w:lang w:val="en-US"/>
        </w:rPr>
      </w:pPr>
      <w:r>
        <w:rPr>
          <w:rFonts w:hint="eastAsia" w:cs="宋体"/>
          <w:szCs w:val="21"/>
          <w:lang w:val="en-US"/>
        </w:rPr>
        <w:t>13.</w:t>
      </w:r>
      <w:r>
        <w:rPr>
          <w:rFonts w:hint="eastAsia" w:ascii="宋体" w:hAnsi="宋体" w:cs="宋体"/>
          <w:szCs w:val="21"/>
        </w:rPr>
        <w:t>荧光线性</w:t>
      </w:r>
      <w:r>
        <w:rPr>
          <w:rFonts w:hint="eastAsia" w:cs="宋体"/>
          <w:szCs w:val="21"/>
        </w:rPr>
        <w:t>：</w:t>
      </w:r>
      <w:r>
        <w:rPr>
          <w:rFonts w:hint="eastAsia" w:ascii="宋体" w:hAnsi="宋体" w:cs="宋体"/>
          <w:szCs w:val="21"/>
        </w:rPr>
        <w:t>线性回归系数</w:t>
      </w:r>
      <w:r>
        <w:rPr>
          <w:rFonts w:hint="eastAsia" w:ascii="宋体" w:hAnsi="宋体" w:cs="宋体"/>
          <w:szCs w:val="21"/>
          <w:lang w:val="en-US"/>
        </w:rPr>
        <w:t>r</w:t>
      </w:r>
      <w:r>
        <w:rPr>
          <w:rFonts w:hint="eastAsia" w:ascii="宋体" w:hAnsi="宋体" w:cs="宋体"/>
          <w:szCs w:val="21"/>
        </w:rPr>
        <w:t>≥</w:t>
      </w:r>
      <w:r>
        <w:rPr>
          <w:rFonts w:hint="eastAsia" w:ascii="宋体" w:hAnsi="宋体" w:cs="宋体"/>
          <w:szCs w:val="21"/>
          <w:lang w:val="en-US"/>
        </w:rPr>
        <w:t>0.995</w:t>
      </w:r>
    </w:p>
    <w:p>
      <w:pPr>
        <w:pStyle w:val="2"/>
        <w:spacing w:line="360" w:lineRule="auto"/>
        <w:ind w:firstLine="0" w:firstLineChars="0"/>
        <w:jc w:val="left"/>
        <w:rPr>
          <w:rFonts w:ascii="宋体" w:hAnsi="宋体" w:cs="宋体"/>
          <w:szCs w:val="21"/>
          <w:lang w:val="en-US"/>
        </w:rPr>
      </w:pPr>
      <w:r>
        <w:rPr>
          <w:rFonts w:hint="eastAsia" w:cs="宋体"/>
          <w:szCs w:val="21"/>
          <w:lang w:val="en-US"/>
        </w:rPr>
        <w:t>14.</w:t>
      </w:r>
      <w:r>
        <w:rPr>
          <w:rFonts w:hint="eastAsia" w:ascii="宋体" w:hAnsi="宋体" w:cs="宋体"/>
          <w:szCs w:val="21"/>
        </w:rPr>
        <w:t>仪器通讯接口</w:t>
      </w:r>
      <w:r>
        <w:rPr>
          <w:rFonts w:hint="eastAsia" w:cs="宋体"/>
          <w:szCs w:val="21"/>
        </w:rPr>
        <w:t>：</w:t>
      </w:r>
      <w:r>
        <w:rPr>
          <w:rFonts w:hint="eastAsia" w:ascii="宋体" w:hAnsi="宋体" w:cs="宋体"/>
          <w:szCs w:val="21"/>
          <w:lang w:val="en-US"/>
        </w:rPr>
        <w:t>USB 2.0(可进行文件导入、导出)</w:t>
      </w:r>
    </w:p>
    <w:p>
      <w:pPr>
        <w:pStyle w:val="2"/>
        <w:spacing w:line="360" w:lineRule="auto"/>
        <w:ind w:firstLine="0" w:firstLineChars="0"/>
        <w:jc w:val="left"/>
        <w:rPr>
          <w:rFonts w:ascii="宋体" w:hAnsi="宋体" w:cs="宋体"/>
          <w:szCs w:val="21"/>
          <w:lang w:val="en-US"/>
        </w:rPr>
      </w:pPr>
      <w:r>
        <w:rPr>
          <w:rFonts w:hint="eastAsia" w:cs="宋体"/>
          <w:szCs w:val="21"/>
          <w:lang w:val="en-US"/>
        </w:rPr>
        <w:t>15.</w:t>
      </w:r>
      <w:r>
        <w:rPr>
          <w:rFonts w:hint="eastAsia" w:ascii="宋体" w:hAnsi="宋体" w:cs="宋体"/>
          <w:szCs w:val="21"/>
          <w:lang w:val="en-US"/>
        </w:rPr>
        <w:t>软件</w:t>
      </w:r>
      <w:r>
        <w:rPr>
          <w:rFonts w:hint="eastAsia" w:cs="宋体"/>
          <w:szCs w:val="21"/>
          <w:lang w:val="en-US"/>
        </w:rPr>
        <w:t>：</w:t>
      </w:r>
      <w:r>
        <w:rPr>
          <w:rFonts w:hint="eastAsia" w:ascii="宋体" w:hAnsi="宋体" w:cs="宋体"/>
          <w:szCs w:val="21"/>
          <w:lang w:val="en-US"/>
        </w:rPr>
        <w:t>仪器可直接进行结果及数据分析，并配套电脑版专用分析软件</w:t>
      </w:r>
    </w:p>
    <w:p>
      <w:pPr>
        <w:pStyle w:val="2"/>
        <w:spacing w:line="360" w:lineRule="auto"/>
        <w:ind w:firstLine="0" w:firstLineChars="0"/>
        <w:jc w:val="left"/>
        <w:rPr>
          <w:szCs w:val="21"/>
          <w:lang w:val="en-US"/>
        </w:rPr>
      </w:pPr>
      <w:r>
        <w:rPr>
          <w:rFonts w:hint="eastAsia" w:cs="宋体"/>
          <w:szCs w:val="21"/>
          <w:lang w:val="en-US"/>
        </w:rPr>
        <w:t>16.</w:t>
      </w:r>
      <w:r>
        <w:rPr>
          <w:rFonts w:hint="eastAsia"/>
        </w:rPr>
        <w:t>★</w:t>
      </w:r>
      <w:r>
        <w:rPr>
          <w:rFonts w:hint="eastAsia" w:ascii="宋体" w:hAnsi="宋体" w:cs="宋体"/>
          <w:szCs w:val="21"/>
          <w:lang w:val="en-US"/>
        </w:rPr>
        <w:t>触控屏独立操作</w:t>
      </w:r>
      <w:r>
        <w:rPr>
          <w:rFonts w:hint="eastAsia" w:cs="宋体"/>
          <w:szCs w:val="21"/>
          <w:lang w:val="en-US"/>
        </w:rPr>
        <w:t>：</w:t>
      </w:r>
      <w:r>
        <w:rPr>
          <w:rFonts w:hint="eastAsia"/>
          <w:szCs w:val="21"/>
          <w:lang w:val="en-US"/>
        </w:rPr>
        <w:t>LED色电容屏触控，无需连接电脑即可操作分析</w:t>
      </w:r>
    </w:p>
    <w:p>
      <w:pPr>
        <w:pStyle w:val="9"/>
        <w:shd w:val="clear" w:color="auto" w:fill="FFFFFF"/>
        <w:spacing w:before="0" w:beforeAutospacing="0" w:after="0" w:afterAutospacing="0" w:line="420" w:lineRule="atLeast"/>
        <w:ind w:firstLine="480"/>
        <w:rPr>
          <w:rFonts w:ascii="仿宋_GB2312" w:hAnsi="Times New Roman" w:eastAsia="仿宋_GB2312" w:cs="Times New Roman"/>
          <w:bCs/>
          <w:kern w:val="2"/>
        </w:rPr>
      </w:pP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三、商务部分要求：</w:t>
      </w:r>
    </w:p>
    <w:p>
      <w:pPr>
        <w:spacing w:line="360" w:lineRule="auto"/>
        <w:ind w:firstLine="422" w:firstLineChars="200"/>
        <w:rPr>
          <w:rFonts w:ascii="宋体" w:hAnsi="宋体"/>
          <w:b/>
          <w:szCs w:val="21"/>
        </w:rPr>
      </w:pPr>
      <w:r>
        <w:rPr>
          <w:rFonts w:hint="eastAsia" w:ascii="宋体" w:hAnsi="宋体"/>
          <w:b/>
          <w:szCs w:val="21"/>
        </w:rPr>
        <w:t>(一)、设备交付要求：</w:t>
      </w:r>
    </w:p>
    <w:p>
      <w:pPr>
        <w:spacing w:line="360" w:lineRule="auto"/>
        <w:rPr>
          <w:rFonts w:ascii="宋体" w:hAnsi="宋体"/>
          <w:szCs w:val="21"/>
        </w:rPr>
      </w:pPr>
      <w:r>
        <w:rPr>
          <w:rFonts w:hint="eastAsia" w:ascii="宋体" w:hAnsi="宋体"/>
          <w:szCs w:val="21"/>
        </w:rPr>
        <w:t xml:space="preserve">    1、交货：合同签订之日起</w:t>
      </w:r>
      <w:r>
        <w:rPr>
          <w:rFonts w:hint="eastAsia" w:ascii="宋体" w:hAnsi="宋体"/>
          <w:szCs w:val="21"/>
          <w:highlight w:val="yellow"/>
        </w:rPr>
        <w:t>十五日内完成</w:t>
      </w:r>
      <w:r>
        <w:rPr>
          <w:rFonts w:hint="eastAsia" w:ascii="宋体" w:hAnsi="宋体"/>
          <w:szCs w:val="21"/>
        </w:rPr>
        <w:t>送货（不接受快递送货、分批送货），</w:t>
      </w:r>
      <w:r>
        <w:rPr>
          <w:rFonts w:hint="eastAsia" w:ascii="宋体" w:hAnsi="宋体"/>
          <w:szCs w:val="21"/>
          <w:lang w:val="en-US" w:eastAsia="zh-CN"/>
        </w:rPr>
        <w:t>同时提供</w:t>
      </w:r>
      <w:r>
        <w:rPr>
          <w:rFonts w:hint="eastAsia"/>
          <w:szCs w:val="21"/>
          <w:lang w:val="en-US"/>
        </w:rPr>
        <w:t>操作手册</w:t>
      </w:r>
      <w:r>
        <w:rPr>
          <w:rFonts w:hint="eastAsia"/>
          <w:szCs w:val="21"/>
          <w:lang w:val="en-US" w:eastAsia="zh-CN"/>
        </w:rPr>
        <w:t>、</w:t>
      </w:r>
      <w:r>
        <w:rPr>
          <w:rFonts w:hint="eastAsia"/>
          <w:szCs w:val="21"/>
          <w:lang w:val="en-US"/>
        </w:rPr>
        <w:t>合格证</w:t>
      </w:r>
      <w:r>
        <w:rPr>
          <w:rFonts w:hint="eastAsia"/>
          <w:szCs w:val="21"/>
          <w:lang w:val="en-US" w:eastAsia="zh-CN"/>
        </w:rPr>
        <w:t>、</w:t>
      </w:r>
      <w:r>
        <w:rPr>
          <w:rFonts w:hint="eastAsia"/>
          <w:szCs w:val="21"/>
          <w:lang w:val="en-US"/>
        </w:rPr>
        <w:t>性能参数表</w:t>
      </w:r>
      <w:r>
        <w:rPr>
          <w:rFonts w:hint="eastAsia"/>
          <w:szCs w:val="21"/>
          <w:lang w:val="en-US" w:eastAsia="zh-CN"/>
        </w:rPr>
        <w:t>，</w:t>
      </w:r>
      <w:r>
        <w:rPr>
          <w:rFonts w:hint="eastAsia" w:ascii="宋体" w:hAnsi="宋体"/>
          <w:szCs w:val="21"/>
        </w:rPr>
        <w:t>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pPr>
        <w:spacing w:line="360" w:lineRule="auto"/>
        <w:ind w:firstLine="420" w:firstLineChars="200"/>
        <w:rPr>
          <w:rFonts w:ascii="宋体" w:hAnsi="宋体"/>
          <w:szCs w:val="21"/>
        </w:rPr>
      </w:pPr>
      <w:r>
        <w:rPr>
          <w:rFonts w:hint="eastAsia" w:ascii="宋体" w:hAnsi="宋体"/>
          <w:szCs w:val="21"/>
        </w:rPr>
        <w:t>2、供应商提供的货物（含配件）应是全新的、未使用过的原装合格正品，并保证所提供货物的开箱合格率为</w:t>
      </w:r>
      <w:r>
        <w:rPr>
          <w:rFonts w:ascii="宋体" w:hAnsi="宋体"/>
          <w:szCs w:val="21"/>
        </w:rPr>
        <w:t>100%</w:t>
      </w:r>
      <w:r>
        <w:rPr>
          <w:rFonts w:hint="eastAsia" w:ascii="宋体" w:hAnsi="宋体"/>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widowControl/>
        <w:spacing w:line="360" w:lineRule="auto"/>
        <w:ind w:firstLine="405"/>
        <w:jc w:val="left"/>
        <w:rPr>
          <w:rFonts w:ascii="宋体" w:hAnsi="宋体"/>
          <w:szCs w:val="21"/>
        </w:rPr>
      </w:pPr>
      <w:r>
        <w:rPr>
          <w:rFonts w:hint="eastAsia" w:ascii="宋体" w:hAnsi="宋体"/>
          <w:szCs w:val="21"/>
        </w:rPr>
        <w:t>3、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进口设备须提供设备的报关单、关税单、商检证明材料（加盖供应商公章）。</w:t>
      </w:r>
    </w:p>
    <w:p>
      <w:pPr>
        <w:spacing w:line="360" w:lineRule="auto"/>
        <w:ind w:firstLine="420" w:firstLineChars="200"/>
        <w:rPr>
          <w:rFonts w:ascii="宋体" w:hAnsi="宋体"/>
          <w:szCs w:val="21"/>
        </w:rPr>
      </w:pPr>
      <w:r>
        <w:rPr>
          <w:rFonts w:hint="eastAsia" w:ascii="宋体" w:hAnsi="宋体"/>
          <w:szCs w:val="21"/>
        </w:rPr>
        <w:t>4、免费为用户提供培训（含培训资料等）。</w:t>
      </w:r>
    </w:p>
    <w:p>
      <w:pPr>
        <w:widowControl/>
        <w:spacing w:line="360" w:lineRule="auto"/>
        <w:ind w:firstLine="405"/>
        <w:jc w:val="left"/>
        <w:rPr>
          <w:rFonts w:ascii="宋体" w:hAnsi="宋体"/>
          <w:szCs w:val="21"/>
        </w:rPr>
      </w:pPr>
      <w:r>
        <w:rPr>
          <w:rFonts w:hint="eastAsia" w:ascii="宋体" w:hAnsi="宋体"/>
          <w:szCs w:val="21"/>
        </w:rPr>
        <w:t>5、采购人使用该货物的任何一部分，当受第三方提出的侵犯其专利权、商标权或工业设计权的投诉时，一切后果由供应商负责。</w:t>
      </w:r>
    </w:p>
    <w:p>
      <w:pPr>
        <w:spacing w:line="360" w:lineRule="auto"/>
        <w:ind w:firstLine="422" w:firstLineChars="200"/>
        <w:rPr>
          <w:rFonts w:ascii="宋体" w:hAnsi="宋体"/>
          <w:b/>
          <w:szCs w:val="21"/>
        </w:rPr>
      </w:pPr>
      <w:r>
        <w:rPr>
          <w:rFonts w:hint="eastAsia" w:ascii="宋体" w:hAnsi="宋体"/>
          <w:b/>
          <w:szCs w:val="21"/>
        </w:rPr>
        <w:t>（二）、安装要求</w:t>
      </w:r>
    </w:p>
    <w:p>
      <w:pPr>
        <w:widowControl/>
        <w:spacing w:line="360" w:lineRule="auto"/>
        <w:ind w:firstLine="405"/>
        <w:jc w:val="left"/>
        <w:rPr>
          <w:rFonts w:ascii="宋体" w:hAnsi="宋体"/>
          <w:szCs w:val="21"/>
        </w:rPr>
      </w:pPr>
      <w:r>
        <w:rPr>
          <w:rFonts w:hint="eastAsia" w:ascii="宋体" w:hAnsi="宋体"/>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pPr>
        <w:widowControl/>
        <w:spacing w:line="360" w:lineRule="auto"/>
        <w:ind w:firstLine="405"/>
        <w:jc w:val="left"/>
        <w:rPr>
          <w:rFonts w:ascii="宋体" w:hAnsi="宋体"/>
          <w:szCs w:val="21"/>
        </w:rPr>
      </w:pPr>
      <w:r>
        <w:rPr>
          <w:rFonts w:hint="eastAsia" w:ascii="宋体" w:hAnsi="宋体"/>
          <w:szCs w:val="21"/>
        </w:rPr>
        <w:t>2、供应商负责派</w:t>
      </w:r>
      <w:r>
        <w:rPr>
          <w:rFonts w:hint="eastAsia" w:ascii="宋体" w:hAnsi="宋体"/>
          <w:b/>
          <w:bCs/>
          <w:szCs w:val="21"/>
        </w:rPr>
        <w:t>原厂技术人员</w:t>
      </w:r>
      <w:r>
        <w:rPr>
          <w:rFonts w:hint="eastAsia" w:ascii="宋体" w:hAnsi="宋体"/>
          <w:szCs w:val="21"/>
        </w:rPr>
        <w:t>到现场进行安装调试，直至验收合格；供应商应在货物抵达现场时，向采购人提供安装调试及运行的进度计划表。</w:t>
      </w:r>
    </w:p>
    <w:p>
      <w:pPr>
        <w:adjustRightInd w:val="0"/>
        <w:snapToGrid w:val="0"/>
        <w:spacing w:line="360" w:lineRule="auto"/>
        <w:ind w:firstLine="420" w:firstLineChars="200"/>
        <w:rPr>
          <w:rFonts w:ascii="宋体" w:hAnsi="宋体"/>
          <w:szCs w:val="21"/>
        </w:rPr>
      </w:pPr>
      <w:r>
        <w:rPr>
          <w:rFonts w:hint="eastAsia" w:ascii="宋体" w:hAnsi="宋体"/>
          <w:szCs w:val="21"/>
        </w:rPr>
        <w:t>3、验收：由供应商、使用科室、验收科室三方在场共同验收。</w:t>
      </w:r>
    </w:p>
    <w:p>
      <w:pPr>
        <w:widowControl/>
        <w:spacing w:line="360" w:lineRule="auto"/>
        <w:ind w:firstLine="405"/>
        <w:jc w:val="left"/>
        <w:rPr>
          <w:rFonts w:ascii="宋体" w:hAnsi="宋体"/>
          <w:szCs w:val="21"/>
        </w:rPr>
      </w:pPr>
      <w:r>
        <w:rPr>
          <w:rFonts w:hint="eastAsia" w:ascii="宋体" w:hAnsi="宋体"/>
          <w:szCs w:val="21"/>
        </w:rPr>
        <w:t>（三）、服务要求</w:t>
      </w:r>
    </w:p>
    <w:p>
      <w:pPr>
        <w:widowControl/>
        <w:spacing w:line="360" w:lineRule="auto"/>
        <w:ind w:firstLine="405"/>
        <w:jc w:val="left"/>
        <w:rPr>
          <w:rFonts w:ascii="宋体" w:hAnsi="宋体"/>
          <w:szCs w:val="21"/>
        </w:rPr>
      </w:pPr>
      <w:r>
        <w:rPr>
          <w:rFonts w:hint="eastAsia" w:ascii="宋体" w:hAnsi="宋体"/>
          <w:szCs w:val="21"/>
        </w:rPr>
        <w:t>1、供应商报价时须承诺所供货物</w:t>
      </w:r>
      <w:r>
        <w:rPr>
          <w:rFonts w:hint="eastAsia" w:asciiTheme="minorEastAsia" w:hAnsiTheme="minorEastAsia"/>
          <w:szCs w:val="21"/>
        </w:rPr>
        <w:t>免费质保期为一年，</w:t>
      </w:r>
      <w:r>
        <w:rPr>
          <w:rFonts w:hint="eastAsia" w:ascii="宋体" w:hAnsi="宋体"/>
          <w:szCs w:val="21"/>
        </w:rPr>
        <w:t>（自验收报告签字确认日起，开始进入质保期），质保期内、外承诺货物均由原厂技术人员进行维护保养。</w:t>
      </w:r>
    </w:p>
    <w:p>
      <w:pPr>
        <w:widowControl/>
        <w:spacing w:line="360" w:lineRule="auto"/>
        <w:ind w:firstLine="405"/>
        <w:jc w:val="left"/>
        <w:rPr>
          <w:rFonts w:ascii="宋体" w:hAnsi="宋体"/>
          <w:szCs w:val="21"/>
        </w:rPr>
      </w:pPr>
      <w:r>
        <w:rPr>
          <w:rFonts w:hint="eastAsia" w:ascii="宋体" w:hAnsi="宋体"/>
          <w:szCs w:val="21"/>
        </w:rPr>
        <w:t>2、故障响应时间：在保修期内有问题做到及时处理，出现质量问题时或故障时，响应时间为4小时，遇到紧急突发事件远程无法解决，工程师应在8小时内到达现场并排除故障。</w:t>
      </w:r>
    </w:p>
    <w:p>
      <w:pPr>
        <w:widowControl/>
        <w:spacing w:line="360" w:lineRule="auto"/>
        <w:ind w:firstLine="405"/>
        <w:jc w:val="left"/>
        <w:rPr>
          <w:rFonts w:ascii="宋体" w:hAnsi="宋体"/>
          <w:szCs w:val="21"/>
        </w:rPr>
      </w:pPr>
      <w:r>
        <w:rPr>
          <w:rFonts w:hint="eastAsia" w:ascii="宋体" w:hAnsi="宋体"/>
          <w:szCs w:val="21"/>
        </w:rPr>
        <w:t>3、质保期内如同一故障发生三次，或在2月内无法修复，供应商无条件换货，立即更换新机。终生提供免费维护和保养服务（免收人工费），质保期后零配件、耗材在成本费的基础上按承诺优惠率收取。</w:t>
      </w:r>
    </w:p>
    <w:p>
      <w:pPr>
        <w:widowControl/>
        <w:spacing w:line="360" w:lineRule="auto"/>
        <w:ind w:firstLine="405"/>
        <w:jc w:val="left"/>
        <w:rPr>
          <w:rFonts w:ascii="宋体" w:hAnsi="宋体"/>
          <w:szCs w:val="21"/>
        </w:rPr>
      </w:pPr>
      <w:r>
        <w:rPr>
          <w:rFonts w:hint="eastAsia" w:ascii="宋体" w:hAnsi="宋体"/>
          <w:szCs w:val="21"/>
        </w:rPr>
        <w:t>（四）、其他要求</w:t>
      </w:r>
    </w:p>
    <w:p>
      <w:pPr>
        <w:widowControl/>
        <w:spacing w:line="360" w:lineRule="auto"/>
        <w:ind w:firstLine="405"/>
        <w:jc w:val="left"/>
        <w:rPr>
          <w:rFonts w:ascii="宋体" w:hAnsi="宋体"/>
          <w:szCs w:val="21"/>
        </w:rPr>
      </w:pPr>
      <w:r>
        <w:rPr>
          <w:rFonts w:hint="eastAsia" w:ascii="宋体" w:hAnsi="宋体"/>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widowControl/>
        <w:spacing w:line="360" w:lineRule="auto"/>
        <w:ind w:firstLine="405"/>
        <w:jc w:val="left"/>
        <w:rPr>
          <w:rFonts w:ascii="宋体" w:hAnsi="宋体"/>
          <w:szCs w:val="21"/>
        </w:rPr>
      </w:pPr>
      <w:r>
        <w:rPr>
          <w:rFonts w:hint="eastAsia" w:ascii="宋体" w:hAnsi="宋体"/>
          <w:szCs w:val="21"/>
        </w:rPr>
        <w:t>2、设备必须为全新正品行货和正版软件，供货前必须提供</w:t>
      </w:r>
      <w:r>
        <w:rPr>
          <w:rFonts w:ascii="宋体" w:hAnsi="宋体"/>
          <w:szCs w:val="21"/>
        </w:rPr>
        <w:t>设备</w:t>
      </w:r>
      <w:r>
        <w:rPr>
          <w:rFonts w:hint="eastAsia" w:ascii="宋体" w:hAnsi="宋体"/>
          <w:szCs w:val="21"/>
        </w:rPr>
        <w:t>原厂商出具的针对本项目的质保函或全国质保三包凭证，不能提供相关证明材料合同不予签订。</w:t>
      </w:r>
    </w:p>
    <w:p>
      <w:pPr>
        <w:widowControl/>
        <w:spacing w:line="360" w:lineRule="auto"/>
        <w:ind w:firstLine="405"/>
        <w:jc w:val="left"/>
        <w:rPr>
          <w:rFonts w:ascii="宋体" w:hAnsi="宋体"/>
          <w:szCs w:val="21"/>
        </w:rPr>
      </w:pPr>
      <w:r>
        <w:rPr>
          <w:rFonts w:hint="eastAsia" w:ascii="宋体" w:hAnsi="宋体"/>
          <w:szCs w:val="21"/>
        </w:rPr>
        <w:t>3、中标供应商负责与采购人需要满足改造后实验环境和设备的无缝对接，在签订合同时提供书面服务承诺函。（若无改造实验环境可忽略此条）</w:t>
      </w:r>
    </w:p>
    <w:p>
      <w:pPr>
        <w:spacing w:line="360" w:lineRule="auto"/>
        <w:ind w:firstLine="420"/>
        <w:rPr>
          <w:rFonts w:ascii="宋体" w:hAnsi="宋体"/>
          <w:b/>
          <w:szCs w:val="21"/>
        </w:rPr>
      </w:pPr>
      <w:r>
        <w:rPr>
          <w:rFonts w:hint="eastAsia" w:ascii="宋体" w:hAnsi="宋体"/>
          <w:b/>
          <w:szCs w:val="21"/>
        </w:rPr>
        <w:t>（五）付款条件：</w:t>
      </w:r>
    </w:p>
    <w:p>
      <w:pPr>
        <w:autoSpaceDE w:val="0"/>
        <w:autoSpaceDN w:val="0"/>
        <w:adjustRightInd w:val="0"/>
        <w:spacing w:line="360" w:lineRule="auto"/>
        <w:ind w:firstLine="420" w:firstLineChars="200"/>
        <w:outlineLvl w:val="0"/>
        <w:rPr>
          <w:rFonts w:ascii="宋体" w:hAnsi="宋体"/>
          <w:szCs w:val="21"/>
        </w:rPr>
      </w:pPr>
      <w:r>
        <w:rPr>
          <w:rFonts w:hint="eastAsia" w:ascii="宋体" w:hAnsi="宋体"/>
          <w:szCs w:val="21"/>
        </w:rPr>
        <w:t>货到、安装、验收合格后一次性付清货款。</w:t>
      </w:r>
      <w:bookmarkStart w:id="0" w:name="_Toc43902852"/>
    </w:p>
    <w:bookmarkEnd w:id="0"/>
    <w:p>
      <w:pPr>
        <w:rPr>
          <w:rFonts w:ascii="Arial" w:hAnsi="Arial" w:cs="Arial"/>
        </w:rPr>
      </w:pPr>
    </w:p>
    <w:p>
      <w:pPr>
        <w:widowControl/>
        <w:jc w:val="center"/>
        <w:rPr>
          <w:rFonts w:ascii="宋体" w:hAnsi="宋体" w:cs="宋体"/>
          <w:b/>
          <w:color w:val="000000"/>
          <w:kern w:val="0"/>
          <w:sz w:val="43"/>
          <w:szCs w:val="43"/>
        </w:rPr>
      </w:pPr>
    </w:p>
    <w:p>
      <w:pPr>
        <w:widowControl/>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第四章合同主要条款及格式</w:t>
      </w:r>
    </w:p>
    <w:p>
      <w:pPr>
        <w:rPr>
          <w:rFonts w:asciiTheme="minorEastAsia" w:hAnsiTheme="minorEastAsia"/>
          <w:sz w:val="28"/>
          <w:szCs w:val="28"/>
        </w:rPr>
      </w:pPr>
    </w:p>
    <w:p>
      <w:pPr>
        <w:rPr>
          <w:rFonts w:asciiTheme="minorEastAsia" w:hAnsiTheme="minorEastAsia"/>
          <w:b/>
          <w:sz w:val="28"/>
          <w:szCs w:val="28"/>
        </w:rPr>
      </w:pPr>
      <w:r>
        <w:rPr>
          <w:rFonts w:hint="eastAsia" w:asciiTheme="minorEastAsia" w:hAnsiTheme="minorEastAsia"/>
          <w:b/>
          <w:sz w:val="28"/>
          <w:szCs w:val="28"/>
        </w:rPr>
        <w:t>甲方：</w:t>
      </w:r>
    </w:p>
    <w:p>
      <w:pPr>
        <w:rPr>
          <w:rFonts w:asciiTheme="minorEastAsia" w:hAnsiTheme="minorEastAsia"/>
          <w:sz w:val="28"/>
          <w:szCs w:val="28"/>
        </w:rPr>
      </w:pPr>
      <w:r>
        <w:rPr>
          <w:rFonts w:hint="eastAsia" w:asciiTheme="minorEastAsia" w:hAnsiTheme="minorEastAsia"/>
          <w:b/>
          <w:sz w:val="28"/>
          <w:szCs w:val="28"/>
        </w:rPr>
        <w:t>乙方：</w:t>
      </w: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甲、乙双方根据《合同法》和其它相关法律、法规，就“”采购项目事宜达成一致，订立本协议。</w:t>
      </w:r>
    </w:p>
    <w:p>
      <w:pPr>
        <w:spacing w:line="500" w:lineRule="exact"/>
        <w:rPr>
          <w:color w:val="000000"/>
          <w:szCs w:val="21"/>
          <w:lang w:val="zh-CN"/>
        </w:rPr>
      </w:pPr>
      <w:r>
        <w:rPr>
          <w:rFonts w:hAnsi="宋体"/>
          <w:b/>
          <w:bCs/>
          <w:color w:val="000000"/>
          <w:szCs w:val="21"/>
          <w:lang w:val="zh-CN"/>
        </w:rPr>
        <w:t xml:space="preserve">第一条合同标的   </w:t>
      </w:r>
      <w:r>
        <w:rPr>
          <w:rFonts w:hAnsi="宋体"/>
          <w:color w:val="000000"/>
          <w:szCs w:val="21"/>
          <w:lang w:val="zh-CN"/>
        </w:rPr>
        <w:t>乙方根据甲方需求提供下列货物：货物名称、规格及数量详见</w:t>
      </w:r>
      <w:r>
        <w:rPr>
          <w:rFonts w:hint="eastAsia" w:hAnsi="宋体"/>
          <w:color w:val="000000"/>
          <w:szCs w:val="21"/>
          <w:lang w:val="zh-CN"/>
        </w:rPr>
        <w:t>附件一</w:t>
      </w:r>
      <w:r>
        <w:rPr>
          <w:rFonts w:hAnsi="宋体"/>
          <w:color w:val="000000"/>
          <w:szCs w:val="21"/>
          <w:lang w:val="zh-CN"/>
        </w:rPr>
        <w:t>。</w:t>
      </w:r>
    </w:p>
    <w:p>
      <w:pPr>
        <w:autoSpaceDE w:val="0"/>
        <w:autoSpaceDN w:val="0"/>
        <w:adjustRightInd w:val="0"/>
        <w:spacing w:line="500" w:lineRule="exact"/>
        <w:jc w:val="left"/>
        <w:rPr>
          <w:color w:val="000000"/>
          <w:szCs w:val="21"/>
          <w:lang w:val="zh-CN"/>
        </w:rPr>
      </w:pPr>
      <w:r>
        <w:rPr>
          <w:rFonts w:hAnsi="宋体"/>
          <w:b/>
          <w:bCs/>
          <w:color w:val="000000"/>
          <w:szCs w:val="21"/>
          <w:lang w:val="zh-CN"/>
        </w:rPr>
        <w:t>第二条合同总价款</w:t>
      </w:r>
      <w:r>
        <w:rPr>
          <w:rFonts w:hAnsi="宋体"/>
          <w:color w:val="000000"/>
          <w:szCs w:val="21"/>
          <w:lang w:val="zh-CN"/>
        </w:rPr>
        <w:t>本合同项下货物价为</w:t>
      </w:r>
      <w:r>
        <w:rPr>
          <w:rFonts w:hAnsi="宋体"/>
          <w:color w:val="000000"/>
          <w:szCs w:val="21"/>
          <w:u w:val="single"/>
          <w:lang w:val="zh-CN"/>
        </w:rPr>
        <w:t>￥</w:t>
      </w:r>
      <w:r>
        <w:rPr>
          <w:rFonts w:hint="eastAsia" w:hAnsi="宋体"/>
          <w:color w:val="000000"/>
          <w:szCs w:val="21"/>
          <w:u w:val="single"/>
          <w:lang w:val="zh-CN"/>
        </w:rPr>
        <w:t>人民币</w:t>
      </w:r>
      <w:r>
        <w:rPr>
          <w:rFonts w:hAnsi="宋体"/>
          <w:color w:val="000000"/>
          <w:szCs w:val="21"/>
          <w:lang w:val="zh-CN"/>
        </w:rPr>
        <w:t>（小写）总价款为（大写）人民币，分项价款在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pPr>
        <w:spacing w:line="500" w:lineRule="exact"/>
        <w:ind w:firstLine="420" w:firstLineChars="20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int="eastAsia" w:hAnsi="宋体"/>
          <w:color w:val="000000" w:themeColor="text1"/>
          <w:kern w:val="0"/>
          <w:szCs w:val="21"/>
          <w:lang w:val="zh-CN"/>
          <w14:textFill>
            <w14:solidFill>
              <w14:schemeClr w14:val="tx1"/>
            </w14:solidFill>
          </w14:textFill>
        </w:rPr>
        <w:t>、</w:t>
      </w:r>
      <w:r>
        <w:rPr>
          <w:rFonts w:hAnsi="宋体"/>
          <w:color w:val="000000" w:themeColor="text1"/>
          <w:kern w:val="0"/>
          <w:szCs w:val="21"/>
          <w:lang w:val="zh-CN"/>
          <w14:textFill>
            <w14:solidFill>
              <w14:schemeClr w14:val="tx1"/>
            </w14:solidFill>
          </w14:textFill>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pPr>
        <w:autoSpaceDE w:val="0"/>
        <w:autoSpaceDN w:val="0"/>
        <w:adjustRightInd w:val="0"/>
        <w:spacing w:line="500" w:lineRule="exact"/>
        <w:ind w:firstLine="413" w:firstLineChars="196"/>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下列关于采购标的招投标文件或与本次采购活动方式相适应的文件及有关附件是本合同不可分割的组成部分，与本合同具有同等法律效力，这些文件包括但不限于：</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2</w:t>
      </w:r>
      <w:r>
        <w:rPr>
          <w:rFonts w:hAnsi="宋体"/>
          <w:color w:val="000000"/>
          <w:szCs w:val="21"/>
          <w:lang w:val="zh-CN"/>
        </w:rPr>
        <w:t>）供货一览表；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4</w:t>
      </w:r>
      <w:r>
        <w:rPr>
          <w:rFonts w:hAnsi="宋体"/>
          <w:color w:val="000000"/>
          <w:szCs w:val="21"/>
          <w:lang w:val="zh-CN"/>
        </w:rPr>
        <w:t>）技术规格响应表；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6</w:t>
      </w:r>
      <w:r>
        <w:rPr>
          <w:rFonts w:hAnsi="宋体"/>
          <w:color w:val="000000"/>
          <w:szCs w:val="21"/>
          <w:lang w:val="zh-CN"/>
        </w:rPr>
        <w:t>）服务承诺；</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8</w:t>
      </w:r>
      <w:r>
        <w:rPr>
          <w:rFonts w:hAnsi="宋体"/>
          <w:color w:val="000000"/>
          <w:szCs w:val="21"/>
          <w:lang w:val="zh-CN"/>
        </w:rPr>
        <w:t>）甲乙双方商定的其他文件等。</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合同签订后天内</w:t>
      </w:r>
      <w:r>
        <w:rPr>
          <w:rFonts w:hAnsi="宋体"/>
          <w:color w:val="000000"/>
          <w:szCs w:val="21"/>
          <w:lang w:val="zh-CN"/>
        </w:rPr>
        <w:t>将货物安装调试完毕交付甲方正常使用，地点由甲方指定。招标文件有约定的，从其约定。</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int="eastAsia" w:hAnsi="宋体"/>
          <w:szCs w:val="21"/>
          <w:lang w:val="zh-CN"/>
        </w:rPr>
        <w:t>。</w:t>
      </w:r>
      <w:r>
        <w:rPr>
          <w:rFonts w:hint="eastAsia"/>
          <w:szCs w:val="21"/>
        </w:rPr>
        <w:t>首次计量检定是否合格</w:t>
      </w:r>
      <w:r>
        <w:rPr>
          <w:rFonts w:hAnsi="宋体"/>
          <w:szCs w:val="21"/>
          <w:lang w:val="zh-CN"/>
        </w:rPr>
        <w:t>。</w:t>
      </w:r>
    </w:p>
    <w:p>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、除前款规定外，乙方还应提供下列服务：</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2</w:t>
      </w:r>
      <w:r>
        <w:rPr>
          <w:rFonts w:hAnsi="宋体"/>
          <w:color w:val="000000"/>
          <w:szCs w:val="21"/>
          <w:lang w:val="zh-CN"/>
        </w:rPr>
        <w:t>）就货物的安装、启动、运行及维护等对甲方人员进行免费培训。</w:t>
      </w:r>
    </w:p>
    <w:p>
      <w:pPr>
        <w:autoSpaceDE w:val="0"/>
        <w:autoSpaceDN w:val="0"/>
        <w:adjustRightInd w:val="0"/>
        <w:spacing w:line="500" w:lineRule="exact"/>
        <w:ind w:firstLine="420"/>
        <w:jc w:val="left"/>
        <w:rPr>
          <w:color w:val="000000"/>
          <w:szCs w:val="21"/>
          <w:lang w:val="zh-CN"/>
        </w:rPr>
      </w:pPr>
      <w:r>
        <w:rPr>
          <w:color w:val="000000"/>
          <w:szCs w:val="21"/>
          <w:lang w:val="zh-CN"/>
        </w:rPr>
        <w:t>3</w:t>
      </w:r>
      <w:r>
        <w:rPr>
          <w:rFonts w:hAnsi="宋体"/>
          <w:color w:val="000000"/>
          <w:szCs w:val="21"/>
          <w:lang w:val="zh-CN"/>
        </w:rPr>
        <w:t>、若招标文件中不包含有关伴随服务或售后服务的承诺，双方作如下约定：</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int="eastAsia" w:hAnsi="宋体"/>
          <w:b/>
          <w:bCs/>
          <w:szCs w:val="21"/>
          <w:lang w:val="zh-CN"/>
        </w:rPr>
        <w:t>九</w:t>
      </w:r>
      <w:r>
        <w:rPr>
          <w:rFonts w:hAnsi="宋体"/>
          <w:b/>
          <w:bCs/>
          <w:szCs w:val="21"/>
          <w:lang w:val="zh-CN"/>
        </w:rPr>
        <w:t>条合同款支付</w:t>
      </w:r>
    </w:p>
    <w:p>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pPr>
        <w:tabs>
          <w:tab w:val="left" w:pos="4785"/>
        </w:tabs>
        <w:autoSpaceDE w:val="0"/>
        <w:autoSpaceDN w:val="0"/>
        <w:adjustRightInd w:val="0"/>
        <w:spacing w:line="360" w:lineRule="auto"/>
        <w:ind w:firstLine="420" w:firstLineChars="200"/>
        <w:jc w:val="left"/>
        <w:rPr>
          <w:rFonts w:hAnsi="宋体"/>
          <w:color w:val="FF0000"/>
          <w:szCs w:val="21"/>
          <w:lang w:val="zh-CN"/>
        </w:rPr>
      </w:pPr>
      <w:r>
        <w:rPr>
          <w:rFonts w:hAnsi="宋体"/>
          <w:szCs w:val="21"/>
          <w:lang w:val="zh-CN"/>
        </w:rPr>
        <w:t>3、付款条件：</w:t>
      </w:r>
      <w:r>
        <w:rPr>
          <w:rFonts w:hint="eastAsia" w:hAnsi="宋体"/>
          <w:b/>
          <w:bCs/>
          <w:szCs w:val="21"/>
          <w:lang w:val="zh-CN"/>
        </w:rPr>
        <w:t>货到、安装、验收合格后一次性付清货款。</w:t>
      </w:r>
    </w:p>
    <w:p>
      <w:pPr>
        <w:autoSpaceDE w:val="0"/>
        <w:autoSpaceDN w:val="0"/>
        <w:adjustRightInd w:val="0"/>
        <w:spacing w:line="500" w:lineRule="exact"/>
        <w:ind w:firstLine="420"/>
        <w:jc w:val="left"/>
        <w:rPr>
          <w:b/>
          <w:bCs/>
          <w:szCs w:val="21"/>
          <w:lang w:val="zh-CN"/>
        </w:rPr>
      </w:pPr>
      <w:r>
        <w:rPr>
          <w:rFonts w:hint="eastAsia" w:hAnsi="宋体"/>
          <w:b/>
          <w:bCs/>
          <w:szCs w:val="21"/>
          <w:lang w:val="zh-CN"/>
        </w:rPr>
        <w:t>第十条违约责任</w:t>
      </w:r>
    </w:p>
    <w:p>
      <w:pPr>
        <w:widowControl/>
        <w:adjustRightInd w:val="0"/>
        <w:spacing w:line="500" w:lineRule="exact"/>
        <w:ind w:firstLine="420"/>
        <w:jc w:val="left"/>
        <w:rPr>
          <w:kern w:val="0"/>
          <w:szCs w:val="21"/>
          <w:lang w:val="zh-CN"/>
        </w:rPr>
      </w:pPr>
      <w:r>
        <w:rPr>
          <w:rFonts w:hint="eastAsia" w:hAnsi="宋体"/>
          <w:kern w:val="0"/>
          <w:szCs w:val="21"/>
          <w:lang w:val="zh-CN"/>
        </w:rPr>
        <w:t>１、甲方无正当理由拒收货物、拒付货物款的，由甲方向乙方偿付合同总价的</w:t>
      </w:r>
      <w:r>
        <w:rPr>
          <w:kern w:val="0"/>
          <w:szCs w:val="21"/>
          <w:lang w:val="zh-CN"/>
        </w:rPr>
        <w:t>5%</w:t>
      </w:r>
      <w:r>
        <w:rPr>
          <w:rFonts w:hint="eastAsia" w:hAnsi="宋体"/>
          <w:kern w:val="0"/>
          <w:szCs w:val="21"/>
          <w:lang w:val="zh-CN"/>
        </w:rPr>
        <w:t>违约金。</w:t>
      </w:r>
    </w:p>
    <w:p>
      <w:pPr>
        <w:widowControl/>
        <w:adjustRightInd w:val="0"/>
        <w:spacing w:line="500" w:lineRule="exact"/>
        <w:ind w:firstLine="420"/>
        <w:jc w:val="left"/>
        <w:rPr>
          <w:kern w:val="0"/>
          <w:szCs w:val="21"/>
          <w:lang w:val="zh-CN"/>
        </w:rPr>
      </w:pPr>
      <w:r>
        <w:rPr>
          <w:rFonts w:hint="eastAsia" w:hAnsi="宋体"/>
          <w:kern w:val="0"/>
          <w:szCs w:val="21"/>
          <w:lang w:val="zh-CN"/>
        </w:rPr>
        <w:t>２、甲方未按合同规定的期限向乙方支付货款的，每逾期</w:t>
      </w:r>
      <w:r>
        <w:rPr>
          <w:kern w:val="0"/>
          <w:szCs w:val="21"/>
          <w:lang w:val="zh-CN"/>
        </w:rPr>
        <w:t>1</w:t>
      </w:r>
      <w:r>
        <w:rPr>
          <w:rFonts w:hint="eastAsia" w:hAnsi="宋体"/>
          <w:kern w:val="0"/>
          <w:szCs w:val="21"/>
          <w:lang w:val="zh-CN"/>
        </w:rPr>
        <w:t>天甲方向乙方偿付欠款总额的</w:t>
      </w:r>
      <w:r>
        <w:rPr>
          <w:kern w:val="0"/>
          <w:szCs w:val="21"/>
          <w:lang w:val="zh-CN"/>
        </w:rPr>
        <w:t>5‰</w:t>
      </w:r>
      <w:r>
        <w:rPr>
          <w:rFonts w:hint="eastAsia" w:hAnsi="宋体"/>
          <w:kern w:val="0"/>
          <w:szCs w:val="21"/>
          <w:lang w:val="zh-CN"/>
        </w:rPr>
        <w:t>滞纳金，但累计滞纳金总额不超过欠款总额的</w:t>
      </w:r>
      <w:r>
        <w:rPr>
          <w:kern w:val="0"/>
          <w:szCs w:val="21"/>
          <w:lang w:val="zh-CN"/>
        </w:rPr>
        <w:t xml:space="preserve">5% </w:t>
      </w:r>
      <w:r>
        <w:rPr>
          <w:rFonts w:hint="eastAsia" w:hAnsi="宋体"/>
          <w:kern w:val="0"/>
          <w:szCs w:val="21"/>
          <w:lang w:val="zh-CN"/>
        </w:rPr>
        <w:t>。</w:t>
      </w:r>
    </w:p>
    <w:p>
      <w:pPr>
        <w:widowControl/>
        <w:adjustRightInd w:val="0"/>
        <w:spacing w:line="500" w:lineRule="exact"/>
        <w:ind w:firstLine="420"/>
        <w:jc w:val="left"/>
        <w:rPr>
          <w:kern w:val="0"/>
          <w:szCs w:val="21"/>
          <w:lang w:val="zh-CN"/>
        </w:rPr>
      </w:pPr>
      <w:r>
        <w:rPr>
          <w:rFonts w:hint="eastAsia" w:hAnsi="宋体"/>
          <w:kern w:val="0"/>
          <w:szCs w:val="21"/>
          <w:lang w:val="zh-CN"/>
        </w:rPr>
        <w:t>３、如乙方不能交付货物、完成安装调试的，乙方应向甲方支付合同总价</w:t>
      </w:r>
      <w:r>
        <w:rPr>
          <w:kern w:val="0"/>
          <w:szCs w:val="21"/>
          <w:lang w:val="zh-CN"/>
        </w:rPr>
        <w:t>5%</w:t>
      </w:r>
      <w:r>
        <w:rPr>
          <w:rFonts w:hint="eastAsia" w:hAnsi="宋体"/>
          <w:kern w:val="0"/>
          <w:szCs w:val="21"/>
          <w:lang w:val="zh-CN"/>
        </w:rPr>
        <w:t>的违约金。</w:t>
      </w:r>
    </w:p>
    <w:p>
      <w:pPr>
        <w:widowControl/>
        <w:adjustRightInd w:val="0"/>
        <w:spacing w:line="500" w:lineRule="exact"/>
        <w:ind w:firstLine="420"/>
        <w:jc w:val="left"/>
        <w:rPr>
          <w:kern w:val="0"/>
          <w:szCs w:val="21"/>
          <w:lang w:val="zh-CN"/>
        </w:rPr>
      </w:pPr>
      <w:r>
        <w:rPr>
          <w:rFonts w:hint="eastAsia" w:hAnsi="宋体"/>
          <w:kern w:val="0"/>
          <w:szCs w:val="21"/>
          <w:lang w:val="zh-CN"/>
        </w:rPr>
        <w:t>４、乙方逾期交付的，每逾期</w:t>
      </w:r>
      <w:r>
        <w:rPr>
          <w:kern w:val="0"/>
          <w:szCs w:val="21"/>
          <w:lang w:val="zh-CN"/>
        </w:rPr>
        <w:t>1</w:t>
      </w:r>
      <w:r>
        <w:rPr>
          <w:rFonts w:hint="eastAsia" w:hAnsi="宋体"/>
          <w:kern w:val="0"/>
          <w:szCs w:val="21"/>
          <w:lang w:val="zh-CN"/>
        </w:rPr>
        <w:t>天，乙方向甲方偿付合同总额的</w:t>
      </w:r>
      <w:r>
        <w:rPr>
          <w:kern w:val="0"/>
          <w:szCs w:val="21"/>
          <w:lang w:val="zh-CN"/>
        </w:rPr>
        <w:t>5‰</w:t>
      </w:r>
      <w:r>
        <w:rPr>
          <w:rFonts w:hint="eastAsia" w:hAnsi="宋体"/>
          <w:kern w:val="0"/>
          <w:szCs w:val="21"/>
          <w:lang w:val="zh-CN"/>
        </w:rPr>
        <w:t>的滞纳金。如乙方逾期交付达</w:t>
      </w:r>
      <w:r>
        <w:rPr>
          <w:kern w:val="0"/>
          <w:szCs w:val="21"/>
          <w:lang w:val="zh-CN"/>
        </w:rPr>
        <w:t>10</w:t>
      </w:r>
      <w:r>
        <w:rPr>
          <w:rFonts w:hint="eastAsia" w:hAnsi="宋体"/>
          <w:kern w:val="0"/>
          <w:szCs w:val="21"/>
          <w:lang w:val="zh-CN"/>
        </w:rPr>
        <w:t>天，甲方有权解除合同，解除合同的通知自到达乙方时生效。</w:t>
      </w:r>
    </w:p>
    <w:p>
      <w:pPr>
        <w:widowControl/>
        <w:adjustRightInd w:val="0"/>
        <w:spacing w:line="500" w:lineRule="exact"/>
        <w:ind w:firstLine="420"/>
        <w:jc w:val="left"/>
        <w:rPr>
          <w:kern w:val="0"/>
          <w:szCs w:val="21"/>
          <w:lang w:val="zh-CN"/>
        </w:rPr>
      </w:pPr>
      <w:r>
        <w:rPr>
          <w:rFonts w:hint="eastAsia" w:hAnsi="宋体"/>
          <w:kern w:val="0"/>
          <w:szCs w:val="21"/>
          <w:lang w:val="zh-CN"/>
        </w:rPr>
        <w:t>５、乙方所交付的货物品种、型号、规格不符合合同规定的，甲方有权拒收。甲方拒收的，乙方应向甲方支付货款总额</w:t>
      </w:r>
      <w:r>
        <w:rPr>
          <w:kern w:val="0"/>
          <w:szCs w:val="21"/>
          <w:lang w:val="zh-CN"/>
        </w:rPr>
        <w:t>5%</w:t>
      </w:r>
      <w:r>
        <w:rPr>
          <w:rFonts w:hint="eastAsia" w:hAnsi="宋体"/>
          <w:kern w:val="0"/>
          <w:szCs w:val="21"/>
          <w:lang w:val="zh-CN"/>
        </w:rPr>
        <w:t>的违约金。同时列入采购单位不合格供应商目录，并上报本级财政部门备案。</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int="eastAsia" w:hAnsi="宋体"/>
          <w:color w:val="000000"/>
          <w:kern w:val="0"/>
          <w:szCs w:val="21"/>
          <w:lang w:val="zh-CN"/>
        </w:rPr>
        <w:t>款处理，同时，乙方还须赔偿甲方因此遭受的损失。</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int="eastAsia" w:hAnsi="宋体"/>
          <w:color w:val="000000"/>
          <w:kern w:val="0"/>
          <w:szCs w:val="21"/>
          <w:lang w:val="zh-CN"/>
        </w:rPr>
        <w:t>、乙方未按本合同的规定和</w:t>
      </w:r>
      <w:r>
        <w:rPr>
          <w:color w:val="000000"/>
          <w:kern w:val="0"/>
          <w:szCs w:val="21"/>
          <w:lang w:val="zh-CN"/>
        </w:rPr>
        <w:t>“</w:t>
      </w:r>
      <w:r>
        <w:rPr>
          <w:rFonts w:hint="eastAsia" w:hAnsi="宋体"/>
          <w:color w:val="000000"/>
          <w:kern w:val="0"/>
          <w:szCs w:val="21"/>
          <w:lang w:val="zh-CN"/>
        </w:rPr>
        <w:t>服务承诺</w:t>
      </w:r>
      <w:r>
        <w:rPr>
          <w:color w:val="000000"/>
          <w:kern w:val="0"/>
          <w:szCs w:val="21"/>
          <w:lang w:val="zh-CN"/>
        </w:rPr>
        <w:t>”</w:t>
      </w:r>
      <w:r>
        <w:rPr>
          <w:rFonts w:hint="eastAsia" w:hAnsi="宋体"/>
          <w:color w:val="000000"/>
          <w:kern w:val="0"/>
          <w:szCs w:val="21"/>
          <w:lang w:val="zh-CN"/>
        </w:rPr>
        <w:t>提供伴随服务</w:t>
      </w:r>
      <w:r>
        <w:rPr>
          <w:color w:val="000000"/>
          <w:kern w:val="0"/>
          <w:szCs w:val="21"/>
          <w:lang w:val="zh-CN"/>
        </w:rPr>
        <w:t>/</w:t>
      </w:r>
      <w:r>
        <w:rPr>
          <w:rFonts w:hint="eastAsia" w:hAnsi="宋体"/>
          <w:color w:val="000000"/>
          <w:kern w:val="0"/>
          <w:szCs w:val="21"/>
          <w:lang w:val="zh-CN"/>
        </w:rPr>
        <w:t>售后服务的，应按合同总价款的</w:t>
      </w:r>
      <w:r>
        <w:rPr>
          <w:color w:val="000000"/>
          <w:kern w:val="0"/>
          <w:szCs w:val="21"/>
          <w:lang w:val="zh-CN"/>
        </w:rPr>
        <w:t>5 %</w:t>
      </w:r>
      <w:r>
        <w:rPr>
          <w:rFonts w:hint="eastAsia" w:hAnsi="宋体"/>
          <w:color w:val="000000"/>
          <w:kern w:val="0"/>
          <w:szCs w:val="21"/>
          <w:lang w:val="zh-CN"/>
        </w:rPr>
        <w:t>向甲方承担违约责任。</w:t>
      </w:r>
    </w:p>
    <w:p>
      <w:pPr>
        <w:widowControl/>
        <w:adjustRightInd w:val="0"/>
        <w:spacing w:line="500" w:lineRule="exact"/>
        <w:ind w:firstLine="420"/>
        <w:jc w:val="left"/>
        <w:rPr>
          <w:color w:val="000000"/>
          <w:kern w:val="0"/>
          <w:szCs w:val="21"/>
          <w:lang w:val="zh-CN"/>
        </w:rPr>
      </w:pPr>
      <w:r>
        <w:rPr>
          <w:color w:val="000000"/>
          <w:kern w:val="0"/>
          <w:szCs w:val="21"/>
          <w:lang w:val="zh-CN"/>
        </w:rPr>
        <w:t>8</w:t>
      </w:r>
      <w:r>
        <w:rPr>
          <w:rFonts w:hint="eastAsia" w:hAnsi="宋体"/>
          <w:color w:val="000000"/>
          <w:kern w:val="0"/>
          <w:szCs w:val="21"/>
          <w:lang w:val="zh-CN"/>
        </w:rPr>
        <w:t>、乙方在承担上述</w:t>
      </w:r>
      <w:r>
        <w:rPr>
          <w:color w:val="000000"/>
          <w:kern w:val="0"/>
          <w:szCs w:val="21"/>
          <w:lang w:val="zh-CN"/>
        </w:rPr>
        <w:t>4-7</w:t>
      </w:r>
      <w:r>
        <w:rPr>
          <w:rFonts w:hint="eastAsia" w:hAnsi="宋体"/>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int="eastAsia" w:hAnsi="宋体"/>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int="eastAsia" w:hAnsi="宋体"/>
          <w:color w:val="000000"/>
          <w:kern w:val="0"/>
          <w:szCs w:val="21"/>
          <w:lang w:val="zh-CN"/>
        </w:rPr>
        <w:t>赔偿金。</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第十一条合同的变更和终止</w:t>
      </w:r>
    </w:p>
    <w:p>
      <w:pPr>
        <w:widowControl/>
        <w:adjustRightInd w:val="0"/>
        <w:spacing w:line="500" w:lineRule="exact"/>
        <w:ind w:firstLine="420" w:firstLineChars="200"/>
        <w:jc w:val="left"/>
        <w:rPr>
          <w:color w:val="000000"/>
          <w:kern w:val="0"/>
          <w:szCs w:val="21"/>
          <w:lang w:val="zh-CN"/>
        </w:rPr>
      </w:pPr>
      <w:r>
        <w:rPr>
          <w:color w:val="000000"/>
          <w:kern w:val="0"/>
          <w:szCs w:val="21"/>
          <w:lang w:val="zh-CN"/>
        </w:rPr>
        <w:t>1</w:t>
      </w:r>
      <w:r>
        <w:rPr>
          <w:rFonts w:hint="eastAsia" w:hAnsi="宋体"/>
          <w:color w:val="000000"/>
          <w:kern w:val="0"/>
          <w:szCs w:val="21"/>
          <w:lang w:val="zh-CN"/>
        </w:rPr>
        <w:t>、除《政府采购法》第</w:t>
      </w:r>
      <w:r>
        <w:rPr>
          <w:color w:val="000000"/>
          <w:kern w:val="0"/>
          <w:szCs w:val="21"/>
          <w:lang w:val="zh-CN"/>
        </w:rPr>
        <w:t>50</w:t>
      </w:r>
      <w:r>
        <w:rPr>
          <w:rFonts w:hint="eastAsia" w:hAnsi="宋体"/>
          <w:color w:val="000000"/>
          <w:kern w:val="0"/>
          <w:szCs w:val="21"/>
          <w:lang w:val="zh-CN"/>
        </w:rPr>
        <w:t>条第二款规定的情形外，本合同一经签订，甲乙双方不得擅自变更、中止或终止合同。</w:t>
      </w:r>
    </w:p>
    <w:p>
      <w:pPr>
        <w:widowControl/>
        <w:adjustRightInd w:val="0"/>
        <w:spacing w:line="500" w:lineRule="exact"/>
        <w:ind w:firstLine="420" w:firstLineChars="200"/>
        <w:jc w:val="left"/>
        <w:rPr>
          <w:kern w:val="0"/>
          <w:szCs w:val="21"/>
          <w:lang w:val="zh-CN"/>
        </w:rPr>
      </w:pPr>
      <w:r>
        <w:rPr>
          <w:color w:val="000000"/>
          <w:kern w:val="0"/>
          <w:szCs w:val="21"/>
          <w:lang w:val="zh-CN"/>
        </w:rPr>
        <w:t>2</w:t>
      </w:r>
      <w:r>
        <w:rPr>
          <w:rFonts w:hint="eastAsia" w:hAnsi="宋体"/>
          <w:color w:val="000000"/>
          <w:kern w:val="0"/>
          <w:szCs w:val="21"/>
          <w:lang w:val="zh-CN"/>
        </w:rPr>
        <w:t>、</w:t>
      </w:r>
      <w:r>
        <w:rPr>
          <w:rFonts w:hint="eastAsia" w:hAnsi="宋体"/>
          <w:color w:val="000000"/>
          <w:kern w:val="0"/>
          <w:szCs w:val="21"/>
        </w:rPr>
        <w:t>除发生法律规定的不能预见、不能避免并不能克服的客观情况外，甲乙双方不得放弃或拒绝履行</w:t>
      </w:r>
      <w:r>
        <w:rPr>
          <w:rFonts w:hint="eastAsia" w:hAnsi="宋体"/>
          <w:kern w:val="0"/>
          <w:szCs w:val="21"/>
        </w:rPr>
        <w:t>合同。乙方放弃或拒绝履行合同，双倍返还甲方货款，</w:t>
      </w:r>
      <w:r>
        <w:rPr>
          <w:rFonts w:hint="eastAsia" w:hAnsi="宋体"/>
          <w:kern w:val="0"/>
          <w:szCs w:val="21"/>
          <w:lang w:val="zh-CN"/>
        </w:rPr>
        <w:t>同时列入采购单位不合格供应商目录，并上报本级财政部门备案。</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第十二条合同的转让</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乙方不得擅自部分或全部转让其应履行的合同义务。</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第十三条争议的解决</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pPr>
        <w:widowControl/>
        <w:adjustRightInd w:val="0"/>
        <w:spacing w:line="500" w:lineRule="exact"/>
        <w:ind w:firstLine="420"/>
        <w:jc w:val="left"/>
        <w:rPr>
          <w:color w:val="000000"/>
          <w:kern w:val="0"/>
          <w:szCs w:val="21"/>
          <w:lang w:val="zh-CN"/>
        </w:rPr>
      </w:pPr>
      <w:r>
        <w:rPr>
          <w:color w:val="000000"/>
          <w:kern w:val="0"/>
          <w:szCs w:val="21"/>
          <w:lang w:val="zh-CN"/>
        </w:rPr>
        <w:t>2</w:t>
      </w:r>
      <w:r>
        <w:rPr>
          <w:rFonts w:hint="eastAsia" w:hAnsi="宋体"/>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int="eastAsia" w:hAnsi="宋体"/>
          <w:color w:val="000000"/>
          <w:kern w:val="0"/>
          <w:szCs w:val="21"/>
          <w:lang w:val="zh-CN"/>
        </w:rPr>
        <w:t>）种方式解决争议：</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1</w:t>
      </w:r>
      <w:r>
        <w:rPr>
          <w:rFonts w:hint="eastAsia" w:hAnsi="宋体"/>
          <w:color w:val="000000"/>
          <w:kern w:val="0"/>
          <w:szCs w:val="21"/>
          <w:lang w:val="zh-CN"/>
        </w:rPr>
        <w:t>）向甲方所在地有管辖权的人民法院提起诉讼；</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2</w:t>
      </w:r>
      <w:r>
        <w:rPr>
          <w:rFonts w:hint="eastAsia" w:hAnsi="宋体"/>
          <w:color w:val="000000"/>
          <w:kern w:val="0"/>
          <w:szCs w:val="21"/>
          <w:lang w:val="zh-CN"/>
        </w:rPr>
        <w:t>）向南京仲裁委员会按其仲裁规则申请仲裁。</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如没有约定，默认采取第</w:t>
      </w:r>
      <w:r>
        <w:rPr>
          <w:color w:val="000000"/>
          <w:kern w:val="0"/>
          <w:szCs w:val="21"/>
          <w:lang w:val="zh-CN"/>
        </w:rPr>
        <w:t>2</w:t>
      </w:r>
      <w:r>
        <w:rPr>
          <w:rFonts w:hint="eastAsia" w:hAnsi="宋体"/>
          <w:color w:val="000000"/>
          <w:kern w:val="0"/>
          <w:szCs w:val="21"/>
          <w:lang w:val="zh-CN"/>
        </w:rPr>
        <w:t>种方式解决争议。</w:t>
      </w:r>
    </w:p>
    <w:p>
      <w:pPr>
        <w:widowControl/>
        <w:adjustRightInd w:val="0"/>
        <w:spacing w:line="500" w:lineRule="exact"/>
        <w:ind w:firstLine="420"/>
        <w:jc w:val="left"/>
        <w:rPr>
          <w:color w:val="000000"/>
          <w:kern w:val="0"/>
          <w:szCs w:val="21"/>
          <w:lang w:val="zh-CN"/>
        </w:rPr>
      </w:pPr>
      <w:r>
        <w:rPr>
          <w:color w:val="000000"/>
          <w:kern w:val="0"/>
          <w:szCs w:val="21"/>
          <w:lang w:val="zh-CN"/>
        </w:rPr>
        <w:t>3</w:t>
      </w:r>
      <w:r>
        <w:rPr>
          <w:rFonts w:hint="eastAsia" w:hAnsi="宋体"/>
          <w:color w:val="000000"/>
          <w:kern w:val="0"/>
          <w:szCs w:val="21"/>
          <w:lang w:val="zh-CN"/>
        </w:rPr>
        <w:t>、在仲裁期间，本合同应继续履行。</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第十四条诚实信用</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乙方应诚实信用，严格按照招标文件要求和投标承诺履行合同，不向甲方进行商业贿赂或者提供不正当利益。</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第十五条合同生效及其他</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、本合同自签订之日起生效。</w:t>
      </w:r>
    </w:p>
    <w:p>
      <w:pPr>
        <w:widowControl/>
        <w:adjustRightInd w:val="0"/>
        <w:spacing w:line="500" w:lineRule="exact"/>
        <w:ind w:firstLine="420"/>
        <w:jc w:val="left"/>
        <w:rPr>
          <w:rFonts w:hAnsi="宋体"/>
          <w:kern w:val="0"/>
          <w:szCs w:val="21"/>
          <w:lang w:val="zh-CN"/>
        </w:rPr>
      </w:pPr>
      <w:r>
        <w:rPr>
          <w:kern w:val="0"/>
          <w:szCs w:val="21"/>
          <w:lang w:val="zh-CN"/>
        </w:rPr>
        <w:t>2</w:t>
      </w:r>
      <w:r>
        <w:rPr>
          <w:rFonts w:hint="eastAsia" w:hAnsi="宋体"/>
          <w:kern w:val="0"/>
          <w:szCs w:val="21"/>
          <w:lang w:val="zh-CN"/>
        </w:rPr>
        <w:t>、本合同一式五份，甲方四份乙方一份，自买卖双方签字、盖章之日起生效。</w:t>
      </w:r>
    </w:p>
    <w:p>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int="eastAsia" w:hAnsi="宋体"/>
          <w:color w:val="000000"/>
          <w:kern w:val="0"/>
          <w:szCs w:val="21"/>
          <w:lang w:val="zh-CN"/>
        </w:rPr>
        <w:t>、本合同应按照中华人民共和国的现行法律进行解释。</w:t>
      </w:r>
    </w:p>
    <w:p>
      <w:pPr>
        <w:widowControl/>
        <w:adjustRightInd w:val="0"/>
        <w:spacing w:line="500" w:lineRule="exact"/>
        <w:ind w:firstLine="420"/>
        <w:jc w:val="left"/>
        <w:rPr>
          <w:color w:val="000000"/>
          <w:kern w:val="0"/>
          <w:szCs w:val="21"/>
          <w:lang w:val="zh-CN"/>
        </w:rPr>
      </w:pPr>
    </w:p>
    <w:p>
      <w:pPr>
        <w:widowControl/>
        <w:adjustRightInd w:val="0"/>
        <w:spacing w:line="500" w:lineRule="exact"/>
        <w:ind w:firstLine="420"/>
        <w:jc w:val="left"/>
        <w:rPr>
          <w:color w:val="000000"/>
          <w:kern w:val="0"/>
          <w:szCs w:val="21"/>
          <w:lang w:val="zh-CN"/>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甲方：                           乙方：</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（公章）                         （公章）</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法定代表人（授权代表人）：        法定代表人（授权代表人）：</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日期：    年   月   日    </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widowControl/>
        <w:jc w:val="left"/>
      </w:pPr>
      <w:r>
        <w:rPr>
          <w:rFonts w:hint="eastAsia" w:ascii="宋体" w:hAnsi="宋体" w:cs="宋体"/>
          <w:color w:val="000000"/>
          <w:kern w:val="0"/>
          <w:sz w:val="28"/>
          <w:szCs w:val="28"/>
        </w:rPr>
        <w:t xml:space="preserve">注：请供应商按照以下文件的要求格式、内容，顺序制作响应文件。 </w:t>
      </w:r>
    </w:p>
    <w:p>
      <w:pPr>
        <w:pStyle w:val="5"/>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第五章投标文件格式及附件</w:t>
      </w:r>
    </w:p>
    <w:p>
      <w:pPr>
        <w:pStyle w:val="2"/>
        <w:ind w:firstLine="420"/>
      </w:pPr>
    </w:p>
    <w:p>
      <w:pPr>
        <w:widowControl/>
        <w:rPr>
          <w:rFonts w:ascii="宋体" w:hAnsi="宋体" w:cs="宋体"/>
          <w:color w:val="000000"/>
          <w:kern w:val="0"/>
          <w:sz w:val="84"/>
          <w:szCs w:val="84"/>
        </w:rPr>
      </w:pPr>
    </w:p>
    <w:p>
      <w:pPr>
        <w:pStyle w:val="2"/>
        <w:ind w:firstLine="420"/>
        <w:rPr>
          <w:lang w:val="en-US"/>
        </w:rPr>
      </w:pPr>
    </w:p>
    <w:p>
      <w:pPr>
        <w:widowControl/>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p>
    <w:p>
      <w:pPr>
        <w:widowControl/>
        <w:jc w:val="left"/>
      </w:pPr>
      <w:r>
        <w:rPr>
          <w:rFonts w:hint="eastAsia" w:ascii="黑体" w:hAnsi="宋体" w:eastAsia="黑体" w:cs="黑体"/>
          <w:color w:val="000000"/>
          <w:kern w:val="0"/>
          <w:sz w:val="28"/>
          <w:szCs w:val="28"/>
        </w:rPr>
        <w:t>（项目名称）</w:t>
      </w:r>
    </w:p>
    <w:p>
      <w:pPr>
        <w:widowControl/>
        <w:jc w:val="left"/>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spacing w:line="440" w:lineRule="exact"/>
        <w:rPr>
          <w:rFonts w:ascii="宋体" w:hAnsi="宋体"/>
          <w:kern w:val="0"/>
          <w:szCs w:val="21"/>
        </w:rPr>
      </w:pPr>
      <w:r>
        <w:rPr>
          <w:rFonts w:hint="eastAsia" w:ascii="宋体" w:hAnsi="宋体"/>
          <w:b/>
          <w:bCs/>
          <w:kern w:val="0"/>
          <w:szCs w:val="21"/>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szCs w:val="21"/>
        </w:rPr>
      </w:pPr>
      <w:r>
        <w:rPr>
          <w:rFonts w:hint="eastAsia" w:ascii="宋体" w:hAnsi="宋体"/>
          <w:kern w:val="0"/>
          <w:szCs w:val="21"/>
        </w:rPr>
        <w:t> 致：南京市疾病预防控制中心</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根据贵方</w:t>
      </w:r>
      <w:r>
        <w:rPr>
          <w:rFonts w:hint="eastAsia" w:ascii="宋体" w:hAnsi="宋体"/>
          <w:kern w:val="0"/>
          <w:szCs w:val="21"/>
          <w:u w:val="single"/>
        </w:rPr>
        <w:t>           </w:t>
      </w:r>
      <w:r>
        <w:rPr>
          <w:rFonts w:hint="eastAsia" w:ascii="宋体" w:hAnsi="宋体"/>
          <w:b/>
          <w:bCs/>
          <w:kern w:val="0"/>
          <w:szCs w:val="21"/>
          <w:u w:val="single"/>
        </w:rPr>
        <w:t>（</w:t>
      </w:r>
      <w:r>
        <w:rPr>
          <w:rFonts w:hint="eastAsia" w:ascii="宋体" w:hAnsi="宋体"/>
          <w:kern w:val="0"/>
          <w:szCs w:val="21"/>
        </w:rPr>
        <w:t>项目名称）投标邀请，正式授权下述签字人</w:t>
      </w:r>
      <w:r>
        <w:rPr>
          <w:rFonts w:hint="eastAsia" w:ascii="宋体" w:hAnsi="宋体"/>
          <w:kern w:val="0"/>
          <w:szCs w:val="21"/>
          <w:u w:val="single"/>
        </w:rPr>
        <w:t>           </w:t>
      </w:r>
      <w:r>
        <w:rPr>
          <w:rFonts w:hint="eastAsia" w:ascii="宋体" w:hAnsi="宋体"/>
          <w:kern w:val="0"/>
          <w:szCs w:val="21"/>
        </w:rPr>
        <w:t>(姓名和职务)代表投标人</w:t>
      </w:r>
      <w:r>
        <w:rPr>
          <w:rFonts w:hint="eastAsia" w:ascii="宋体" w:hAnsi="宋体"/>
          <w:kern w:val="0"/>
          <w:szCs w:val="21"/>
          <w:u w:val="single"/>
        </w:rPr>
        <w:t>     </w:t>
      </w:r>
      <w:r>
        <w:rPr>
          <w:rFonts w:hint="eastAsia" w:ascii="宋体" w:hAnsi="宋体"/>
          <w:kern w:val="0"/>
          <w:szCs w:val="21"/>
        </w:rPr>
        <w:t>（投标人名称），提交投标文件。</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据此函，签字人兹宣布声明和承诺如下：</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1、</w:t>
      </w:r>
      <w:r>
        <w:rPr>
          <w:rFonts w:hint="eastAsia" w:ascii="宋体" w:hAnsi="宋体"/>
          <w:b/>
          <w:bCs/>
          <w:kern w:val="0"/>
          <w:szCs w:val="21"/>
        </w:rPr>
        <w:t>我们的资格条件完全符合政府采购法和本次招标要求</w:t>
      </w:r>
      <w:r>
        <w:rPr>
          <w:rFonts w:hint="eastAsia" w:ascii="宋体" w:hAnsi="宋体"/>
          <w:kern w:val="0"/>
          <w:szCs w:val="21"/>
        </w:rPr>
        <w:t>，我们同意并向贵方提供了与投标有关的所有证据和资料。</w:t>
      </w:r>
    </w:p>
    <w:p>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hint="eastAsia" w:ascii="宋体" w:hAnsi="宋体"/>
          <w:kern w:val="0"/>
          <w:szCs w:val="21"/>
        </w:rPr>
        <w:t xml:space="preserve">按招标要求，我们的投标报价为 </w:t>
      </w:r>
      <w:r>
        <w:rPr>
          <w:rFonts w:hint="eastAsia" w:ascii="宋体" w:hAnsi="宋体"/>
          <w:kern w:val="0"/>
          <w:szCs w:val="21"/>
          <w:u w:val="single"/>
        </w:rPr>
        <w:t xml:space="preserve">        </w:t>
      </w:r>
      <w:r>
        <w:rPr>
          <w:rFonts w:hint="eastAsia" w:ascii="宋体" w:hAnsi="宋体"/>
          <w:kern w:val="0"/>
          <w:szCs w:val="21"/>
        </w:rPr>
        <w:t>元人民币。</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3、本项目交付时间为：</w:t>
      </w:r>
      <w:r>
        <w:rPr>
          <w:rFonts w:hint="eastAsia" w:ascii="宋体" w:hAnsi="宋体"/>
          <w:kern w:val="0"/>
          <w:szCs w:val="21"/>
          <w:u w:val="single"/>
        </w:rPr>
        <w:t xml:space="preserve">  满足招标文件要求  </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4、我们已详细阅读全部招标文件及其有效补充文件，我们放弃对招标文件任何误解的权利，提交投标文件后，</w:t>
      </w:r>
      <w:r>
        <w:rPr>
          <w:rFonts w:hint="eastAsia" w:ascii="宋体" w:hAnsi="宋体"/>
          <w:b/>
          <w:bCs/>
          <w:kern w:val="0"/>
          <w:szCs w:val="21"/>
        </w:rPr>
        <w:t>不对招标文件本身提出质疑</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9、与本投标有关的正式联系方式为：</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地   址：</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电   话：</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传   真：</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开户银行：</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银行账号：</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投标人授权代表姓名（签字）：</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w:t>
      </w:r>
      <w:r>
        <w:rPr>
          <w:rFonts w:hint="eastAsia" w:ascii="宋体" w:hAnsi="宋体"/>
          <w:kern w:val="0"/>
          <w:szCs w:val="21"/>
        </w:rPr>
        <w:t>（盖章）</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日    期：</w:t>
      </w:r>
      <w:r>
        <w:rPr>
          <w:rFonts w:hint="eastAsia" w:ascii="宋体" w:hAnsi="宋体"/>
          <w:kern w:val="0"/>
          <w:szCs w:val="21"/>
          <w:u w:val="single"/>
        </w:rPr>
        <w:t>     </w:t>
      </w:r>
      <w:r>
        <w:rPr>
          <w:rFonts w:hint="eastAsia" w:ascii="宋体" w:hAnsi="宋体"/>
          <w:kern w:val="0"/>
          <w:szCs w:val="21"/>
        </w:rPr>
        <w:t>年</w:t>
      </w:r>
      <w:r>
        <w:rPr>
          <w:rFonts w:hint="eastAsia" w:ascii="宋体" w:hAnsi="宋体"/>
          <w:kern w:val="0"/>
          <w:szCs w:val="21"/>
          <w:u w:val="single"/>
        </w:rPr>
        <w:t>    </w:t>
      </w:r>
      <w:r>
        <w:rPr>
          <w:rFonts w:hint="eastAsia" w:ascii="宋体" w:hAnsi="宋体"/>
          <w:kern w:val="0"/>
          <w:szCs w:val="21"/>
        </w:rPr>
        <w:t>月</w:t>
      </w:r>
      <w:r>
        <w:rPr>
          <w:rFonts w:hint="eastAsia" w:ascii="宋体" w:hAnsi="宋体"/>
          <w:kern w:val="0"/>
          <w:szCs w:val="21"/>
          <w:u w:val="single"/>
        </w:rPr>
        <w:t>    </w:t>
      </w:r>
      <w:r>
        <w:rPr>
          <w:rFonts w:hint="eastAsia" w:ascii="宋体" w:hAnsi="宋体"/>
          <w:kern w:val="0"/>
          <w:szCs w:val="21"/>
        </w:rPr>
        <w:t>日</w:t>
      </w:r>
    </w:p>
    <w:p>
      <w:pPr>
        <w:widowControl/>
        <w:jc w:val="left"/>
        <w:rPr>
          <w:rFonts w:ascii="宋体" w:hAnsi="宋体" w:cs="宋体"/>
          <w:b/>
          <w:color w:val="000000"/>
          <w:kern w:val="0"/>
          <w:szCs w:val="21"/>
        </w:rPr>
      </w:pPr>
      <w:r>
        <w:rPr>
          <w:rFonts w:ascii="宋体" w:hAnsi="宋体"/>
          <w:b/>
          <w:bCs/>
          <w:kern w:val="0"/>
          <w:szCs w:val="21"/>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致：南京市疾病预防控制中心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在下面签字的                   （供应商代表姓名、职务）为本公司的合法代理人，就贵方组织的               （项目名称）投标，以本公司名义处理一切与之有关的事务。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本授权书于    年   月    日签字生效，特此声明。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法定代表人签字：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授权委托人签字：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 期： 年 月 日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w:t>
      </w:r>
    </w:p>
    <w:p>
      <w:pPr>
        <w:jc w:val="center"/>
        <w:rPr>
          <w:b/>
          <w:bCs/>
          <w:sz w:val="28"/>
          <w:szCs w:val="28"/>
        </w:rPr>
      </w:pPr>
      <w:r>
        <w:rPr>
          <w:rFonts w:hint="eastAsia"/>
          <w:b/>
          <w:bCs/>
          <w:sz w:val="28"/>
          <w:szCs w:val="28"/>
        </w:rPr>
        <w:t>报价单</w:t>
      </w:r>
    </w:p>
    <w:tbl>
      <w:tblPr>
        <w:tblStyle w:val="10"/>
        <w:tblW w:w="4999" w:type="pct"/>
        <w:tblInd w:w="0" w:type="dxa"/>
        <w:tblLayout w:type="autofit"/>
        <w:tblCellMar>
          <w:top w:w="0" w:type="dxa"/>
          <w:left w:w="0" w:type="dxa"/>
          <w:bottom w:w="0" w:type="dxa"/>
          <w:right w:w="0" w:type="dxa"/>
        </w:tblCellMar>
      </w:tblPr>
      <w:tblGrid>
        <w:gridCol w:w="1779"/>
        <w:gridCol w:w="2264"/>
        <w:gridCol w:w="4291"/>
      </w:tblGrid>
      <w:tr>
        <w:tblPrEx>
          <w:tblCellMar>
            <w:top w:w="0" w:type="dxa"/>
            <w:left w:w="0" w:type="dxa"/>
            <w:bottom w:w="0" w:type="dxa"/>
            <w:right w:w="0" w:type="dxa"/>
          </w:tblCellMar>
        </w:tblPrEx>
        <w:trPr>
          <w:trHeight w:val="769" w:hRule="atLeast"/>
        </w:trPr>
        <w:tc>
          <w:tcPr>
            <w:tcW w:w="1067" w:type="pct"/>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项目</w:t>
            </w:r>
          </w:p>
        </w:tc>
        <w:tc>
          <w:tcPr>
            <w:tcW w:w="1358"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hAnsi="微软雅黑" w:eastAsia="微软雅黑"/>
                <w:kern w:val="0"/>
                <w:sz w:val="22"/>
                <w:szCs w:val="22"/>
              </w:rPr>
            </w:pPr>
            <w:r>
              <w:rPr>
                <w:rFonts w:hAnsi="微软雅黑" w:eastAsia="微软雅黑"/>
                <w:kern w:val="0"/>
                <w:sz w:val="22"/>
                <w:szCs w:val="22"/>
              </w:rPr>
              <w:t>报价要求</w:t>
            </w:r>
          </w:p>
        </w:tc>
        <w:tc>
          <w:tcPr>
            <w:tcW w:w="2574"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855"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微软雅黑"/>
                <w:sz w:val="22"/>
              </w:rPr>
            </w:pP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4"/>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满足招标文件中</w:t>
            </w:r>
          </w:p>
          <w:p>
            <w:pPr>
              <w:pStyle w:val="14"/>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w:t>
            </w:r>
          </w:p>
        </w:tc>
        <w:tc>
          <w:tcPr>
            <w:tcW w:w="2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940"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39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pStyle w:val="2"/>
        <w:ind w:firstLine="420"/>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分项报价表格式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货物名称</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规格</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品牌</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报价</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bl>
    <w:p>
      <w:pPr>
        <w:widowControl/>
        <w:jc w:val="left"/>
      </w:pP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附件七、商务条款偏离表格式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widowControl/>
        <w:jc w:val="left"/>
        <w:rPr>
          <w:rFonts w:ascii="宋体" w:hAnsi="宋体" w:cs="宋体"/>
          <w:b/>
          <w:color w:val="000000"/>
          <w:kern w:val="0"/>
          <w:szCs w:val="21"/>
        </w:rPr>
      </w:pPr>
    </w:p>
    <w:p>
      <w:pPr>
        <w:widowControl/>
        <w:jc w:val="left"/>
      </w:pPr>
      <w:r>
        <w:rPr>
          <w:rFonts w:hint="eastAsia" w:ascii="宋体" w:hAnsi="宋体" w:cs="宋体"/>
          <w:b/>
          <w:bCs/>
          <w:color w:val="000000"/>
          <w:kern w:val="0"/>
          <w:sz w:val="28"/>
          <w:szCs w:val="28"/>
        </w:rPr>
        <w:t xml:space="preserve">附件八、项目实施方案（自拟）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 （盖章）</w:t>
      </w: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pStyle w:val="2"/>
        <w:ind w:firstLine="560"/>
        <w:rPr>
          <w:rFonts w:ascii="宋体" w:hAnsi="宋体" w:cs="宋体"/>
          <w:color w:val="000000"/>
          <w:kern w:val="0"/>
          <w:sz w:val="28"/>
          <w:szCs w:val="28"/>
        </w:rPr>
      </w:pPr>
    </w:p>
    <w:p>
      <w:pPr>
        <w:pStyle w:val="2"/>
        <w:ind w:firstLine="560"/>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附件十一、客户清单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客户单位名称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联系人</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 xml:space="preserve">联系 方式 </w:t>
            </w:r>
          </w:p>
        </w:tc>
        <w:tc>
          <w:tcPr>
            <w:tcW w:w="2018" w:type="dxa"/>
          </w:tcPr>
          <w:p>
            <w:pPr>
              <w:widowControl/>
              <w:jc w:val="left"/>
            </w:pPr>
            <w:r>
              <w:rPr>
                <w:rFonts w:hint="eastAsia" w:ascii="宋体" w:hAnsi="宋体" w:cs="宋体"/>
                <w:b/>
                <w:color w:val="000000"/>
                <w:kern w:val="0"/>
                <w:szCs w:val="21"/>
              </w:rPr>
              <w:t xml:space="preserve">年采购金额 </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323"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 xml:space="preserve">供应商名称： （盖章） </w:t>
      </w:r>
    </w:p>
    <w:p>
      <w:pPr>
        <w:widowControl/>
        <w:jc w:val="left"/>
      </w:pPr>
      <w:r>
        <w:rPr>
          <w:rFonts w:hint="eastAsia" w:ascii="宋体" w:hAnsi="宋体" w:cs="宋体"/>
          <w:color w:val="000000"/>
          <w:kern w:val="0"/>
          <w:szCs w:val="21"/>
        </w:rPr>
        <w:t xml:space="preserve">说明： </w:t>
      </w:r>
    </w:p>
    <w:p>
      <w:pPr>
        <w:widowControl/>
        <w:jc w:val="left"/>
      </w:pPr>
      <w:r>
        <w:rPr>
          <w:rFonts w:hint="eastAsia" w:ascii="宋体" w:hAnsi="宋体" w:cs="宋体"/>
          <w:color w:val="000000"/>
          <w:kern w:val="0"/>
          <w:szCs w:val="21"/>
        </w:rPr>
        <w:t xml:space="preserve">1、此表为表样，行数可自行添加，但表式不变。 </w:t>
      </w:r>
    </w:p>
    <w:p>
      <w:pPr>
        <w:widowControl/>
        <w:jc w:val="left"/>
      </w:pPr>
      <w:r>
        <w:rPr>
          <w:rFonts w:hint="eastAsia" w:ascii="宋体" w:hAnsi="宋体" w:cs="宋体"/>
          <w:color w:val="000000"/>
          <w:kern w:val="0"/>
          <w:szCs w:val="21"/>
        </w:rPr>
        <w:t>2、证明材料按磋商文件要求按序作为本表附页附后。</w:t>
      </w:r>
    </w:p>
    <w:p>
      <w:pPr>
        <w:pStyle w:val="2"/>
        <w:ind w:firstLine="420"/>
        <w:rPr>
          <w:rFonts w:ascii="宋体" w:hAnsi="宋体" w:cs="宋体"/>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附件十二、</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widowControl/>
        <w:jc w:val="left"/>
      </w:pPr>
      <w:r>
        <w:rPr>
          <w:rFonts w:hint="eastAsia" w:ascii="宋体" w:hAnsi="宋体" w:cs="宋体"/>
          <w:b/>
          <w:color w:val="000000"/>
          <w:kern w:val="0"/>
          <w:sz w:val="28"/>
          <w:szCs w:val="28"/>
        </w:rPr>
        <w:t xml:space="preserve">1、法人、其他组织的营业执照，自然人的身份证明复印件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2、无重大违法记录声明 </w:t>
      </w:r>
    </w:p>
    <w:p>
      <w:pPr>
        <w:widowControl/>
        <w:spacing w:line="360" w:lineRule="auto"/>
        <w:ind w:firstLine="420" w:firstLineChars="200"/>
        <w:jc w:val="left"/>
        <w:rPr>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szCs w:val="21"/>
        </w:rPr>
      </w:pPr>
      <w:r>
        <w:rPr>
          <w:rFonts w:hint="eastAsia" w:ascii="宋体" w:hAnsi="宋体" w:cs="宋体"/>
          <w:color w:val="000000"/>
          <w:kern w:val="0"/>
          <w:szCs w:val="21"/>
        </w:rPr>
        <w:t xml:space="preserve">我单位 （供应商名称）郑重声明： </w:t>
      </w:r>
    </w:p>
    <w:p>
      <w:pPr>
        <w:widowControl/>
        <w:spacing w:line="360" w:lineRule="auto"/>
        <w:ind w:firstLine="420" w:firstLineChars="200"/>
        <w:jc w:val="left"/>
        <w:rPr>
          <w:szCs w:val="21"/>
        </w:rPr>
      </w:pPr>
      <w:r>
        <w:rPr>
          <w:rFonts w:hint="eastAsia" w:ascii="宋体" w:hAnsi="宋体" w:cs="宋体"/>
          <w:color w:val="000000"/>
          <w:kern w:val="0"/>
          <w:szCs w:val="21"/>
        </w:rPr>
        <w:t xml:space="preserve">参加政府采购活动前 3 年内在经营活动中   （在下划线上如实填写：有或没有）重大违法记录。 </w:t>
      </w:r>
    </w:p>
    <w:p>
      <w:pPr>
        <w:widowControl/>
        <w:spacing w:line="360" w:lineRule="auto"/>
        <w:ind w:firstLine="420" w:firstLineChars="200"/>
        <w:jc w:val="left"/>
        <w:rPr>
          <w:szCs w:val="21"/>
        </w:rPr>
      </w:pPr>
      <w:r>
        <w:rPr>
          <w:rFonts w:hint="eastAsia" w:ascii="宋体" w:hAnsi="宋体" w:cs="宋体"/>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 xml:space="preserve">声明人：（公章） </w:t>
      </w:r>
    </w:p>
    <w:p>
      <w:pPr>
        <w:widowControl/>
        <w:spacing w:line="360" w:lineRule="auto"/>
        <w:ind w:firstLine="420" w:firstLineChars="200"/>
        <w:jc w:val="right"/>
      </w:pPr>
      <w:r>
        <w:rPr>
          <w:rFonts w:hint="eastAsia" w:ascii="宋体" w:hAnsi="宋体" w:cs="宋体"/>
          <w:color w:val="000000"/>
          <w:kern w:val="0"/>
          <w:szCs w:val="21"/>
        </w:rPr>
        <w:t xml:space="preserve">年 月 日 </w:t>
      </w: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BBCFB"/>
    <w:multiLevelType w:val="singleLevel"/>
    <w:tmpl w:val="041BBCFB"/>
    <w:lvl w:ilvl="0" w:tentative="0">
      <w:start w:val="1"/>
      <w:numFmt w:val="decimal"/>
      <w:lvlText w:val="(%1)"/>
      <w:lvlJc w:val="left"/>
      <w:pPr>
        <w:ind w:left="425" w:hanging="425"/>
      </w:pPr>
      <w:rPr>
        <w:rFonts w:hint="default"/>
      </w:rPr>
    </w:lvl>
  </w:abstractNum>
  <w:abstractNum w:abstractNumId="1">
    <w:nsid w:val="181D9A65"/>
    <w:multiLevelType w:val="singleLevel"/>
    <w:tmpl w:val="181D9A65"/>
    <w:lvl w:ilvl="0" w:tentative="0">
      <w:start w:val="1"/>
      <w:numFmt w:val="chineseCounting"/>
      <w:suff w:val="nothing"/>
      <w:lvlText w:val="%1、"/>
      <w:lvlJc w:val="left"/>
      <w:pPr>
        <w:ind w:left="0" w:firstLine="420"/>
      </w:pPr>
      <w:rPr>
        <w:rFonts w:hint="eastAsia"/>
      </w:rPr>
    </w:lvl>
  </w:abstractNum>
  <w:abstractNum w:abstractNumId="2">
    <w:nsid w:val="75983609"/>
    <w:multiLevelType w:val="singleLevel"/>
    <w:tmpl w:val="75983609"/>
    <w:lvl w:ilvl="0" w:tentative="0">
      <w:start w:val="2"/>
      <w:numFmt w:val="chineseCounting"/>
      <w:suff w:val="nothing"/>
      <w:lvlText w:val="%1、"/>
      <w:lvlJc w:val="left"/>
      <w:rPr>
        <w:rFonts w:hint="eastAsia"/>
      </w:rPr>
    </w:lvl>
  </w:abstractNum>
  <w:abstractNum w:abstractNumId="3">
    <w:nsid w:val="77F833FE"/>
    <w:multiLevelType w:val="multilevel"/>
    <w:tmpl w:val="77F833FE"/>
    <w:lvl w:ilvl="0" w:tentative="0">
      <w:start w:val="1"/>
      <w:numFmt w:val="decimal"/>
      <w:lvlText w:val="%1、"/>
      <w:lvlJc w:val="left"/>
      <w:pPr>
        <w:ind w:left="1440" w:hanging="720"/>
      </w:pPr>
      <w:rPr>
        <w:rFonts w:hint="default"/>
      </w:rPr>
    </w:lvl>
    <w:lvl w:ilvl="1" w:tentative="0">
      <w:start w:val="5"/>
      <w:numFmt w:val="japaneseCounting"/>
      <w:lvlText w:val="%2、"/>
      <w:lvlJc w:val="left"/>
      <w:pPr>
        <w:ind w:left="906" w:hanging="48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NmFjZjdjMWFhMzMzN2IxNzc4ZTczMWJhZDJkNTYifQ=="/>
  </w:docVars>
  <w:rsids>
    <w:rsidRoot w:val="5B2757A7"/>
    <w:rsid w:val="00335528"/>
    <w:rsid w:val="00344299"/>
    <w:rsid w:val="005A47FE"/>
    <w:rsid w:val="005D509C"/>
    <w:rsid w:val="00607410"/>
    <w:rsid w:val="007A67F9"/>
    <w:rsid w:val="0085767A"/>
    <w:rsid w:val="008C1FE5"/>
    <w:rsid w:val="00903981"/>
    <w:rsid w:val="00B51E4B"/>
    <w:rsid w:val="00CF4B24"/>
    <w:rsid w:val="00D04F11"/>
    <w:rsid w:val="00D16BF8"/>
    <w:rsid w:val="00E31584"/>
    <w:rsid w:val="00EC4DB4"/>
    <w:rsid w:val="00F16C49"/>
    <w:rsid w:val="00F65588"/>
    <w:rsid w:val="093B4323"/>
    <w:rsid w:val="0DA95126"/>
    <w:rsid w:val="1FDE0934"/>
    <w:rsid w:val="2B670107"/>
    <w:rsid w:val="489B4587"/>
    <w:rsid w:val="5B2757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Normal Indent"/>
    <w:basedOn w:val="1"/>
    <w:qFormat/>
    <w:uiPriority w:val="0"/>
    <w:pPr>
      <w:ind w:firstLine="420"/>
    </w:pPr>
    <w:rPr>
      <w:b/>
      <w:sz w:val="24"/>
    </w:rPr>
  </w:style>
  <w:style w:type="paragraph" w:styleId="4">
    <w:name w:val="annotation text"/>
    <w:basedOn w:val="1"/>
    <w:qFormat/>
    <w:uiPriority w:val="0"/>
    <w:pPr>
      <w:jc w:val="left"/>
    </w:pPr>
  </w:style>
  <w:style w:type="paragraph" w:styleId="5">
    <w:name w:val="Block Text"/>
    <w:basedOn w:val="1"/>
    <w:qFormat/>
    <w:uiPriority w:val="0"/>
    <w:pPr>
      <w:spacing w:after="120"/>
      <w:ind w:left="1440" w:leftChars="700" w:right="1440" w:rightChars="700"/>
    </w:pPr>
    <w:rPr>
      <w:sz w:val="24"/>
      <w:szCs w:val="24"/>
    </w:rPr>
  </w:style>
  <w:style w:type="paragraph" w:styleId="6">
    <w:name w:val="Balloon Text"/>
    <w:basedOn w:val="1"/>
    <w:link w:val="16"/>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paragraph" w:styleId="14">
    <w:name w:val="List Paragraph"/>
    <w:basedOn w:val="1"/>
    <w:qFormat/>
    <w:uiPriority w:val="34"/>
    <w:pPr>
      <w:ind w:firstLine="420" w:firstLineChars="200"/>
    </w:pPr>
    <w:rPr>
      <w:rFonts w:ascii="Calibri" w:hAnsi="Calibri"/>
    </w:rPr>
  </w:style>
  <w:style w:type="character" w:customStyle="1" w:styleId="15">
    <w:name w:val="页眉 Char"/>
    <w:basedOn w:val="12"/>
    <w:link w:val="8"/>
    <w:qFormat/>
    <w:uiPriority w:val="0"/>
    <w:rPr>
      <w:rFonts w:ascii="Times New Roman" w:hAnsi="Times New Roman" w:eastAsia="宋体" w:cs="Times New Roman"/>
      <w:kern w:val="2"/>
      <w:sz w:val="18"/>
      <w:szCs w:val="18"/>
    </w:rPr>
  </w:style>
  <w:style w:type="character" w:customStyle="1" w:styleId="16">
    <w:name w:val="批注框文本 Char"/>
    <w:basedOn w:val="12"/>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8849</Words>
  <Characters>9076</Characters>
  <Lines>72</Lines>
  <Paragraphs>20</Paragraphs>
  <TotalTime>6</TotalTime>
  <ScaleCrop>false</ScaleCrop>
  <LinksUpToDate>false</LinksUpToDate>
  <CharactersWithSpaces>9529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2022-05-27T02:10:00Z</dcterms:created>
  <dc:creator>旖旎</dc:creator>
  <cp:lastModifiedBy>qzuser</cp:lastModifiedBy>
  <dcterms:modified xsi:type="dcterms:W3CDTF">2022-06-08T02:08:28Z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B11F601E327742AA80E48D240A5C5943</vt:lpwstr>
  </property>
</Properties>
</file>